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6238C">
      <w:pPr>
        <w:tabs>
          <w:tab w:val="left" w:pos="2520"/>
        </w:tabs>
        <w:spacing w:line="500" w:lineRule="exact"/>
        <w:jc w:val="center"/>
        <w:rPr>
          <w:rFonts w:hint="eastAsia" w:ascii="宋体" w:hAnsi="宋体"/>
          <w:b/>
          <w:bCs/>
          <w:color w:val="000000"/>
          <w:sz w:val="44"/>
          <w:szCs w:val="44"/>
        </w:rPr>
      </w:pPr>
      <w:r>
        <w:rPr>
          <w:rFonts w:hint="eastAsia" w:ascii="宋体" w:hAnsi="宋体"/>
          <w:b/>
          <w:bCs/>
          <w:color w:val="000000"/>
          <w:sz w:val="44"/>
          <w:szCs w:val="44"/>
        </w:rPr>
        <w:t>招标文件</w:t>
      </w:r>
    </w:p>
    <w:p w14:paraId="43BEA4A4">
      <w:pPr>
        <w:spacing w:line="500" w:lineRule="exact"/>
        <w:rPr>
          <w:rFonts w:hint="eastAsia" w:ascii="宋体" w:hAnsi="宋体"/>
          <w:b/>
          <w:bCs/>
          <w:color w:val="000000"/>
          <w:sz w:val="32"/>
          <w:szCs w:val="32"/>
        </w:rPr>
      </w:pPr>
    </w:p>
    <w:p w14:paraId="1758D8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各投标单位：</w:t>
      </w:r>
    </w:p>
    <w:p w14:paraId="5AF1446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万基控股集团有限公司经营管理部招标办拟对安全环保部18台AED（自动体外除颤仪）采购项目[编号：</w:t>
      </w:r>
      <w:r>
        <w:rPr>
          <w:rFonts w:hint="eastAsia" w:ascii="仿宋" w:hAnsi="仿宋" w:eastAsia="仿宋" w:cs="仿宋"/>
          <w:color w:val="000000"/>
          <w:sz w:val="32"/>
          <w:szCs w:val="32"/>
        </w:rPr>
        <w:t>WJ</w:t>
      </w:r>
      <w:r>
        <w:rPr>
          <w:rFonts w:hint="eastAsia" w:ascii="仿宋" w:hAnsi="仿宋" w:eastAsia="仿宋" w:cs="仿宋"/>
          <w:color w:val="000000"/>
          <w:sz w:val="32"/>
          <w:szCs w:val="32"/>
          <w:lang w:val="en-US" w:eastAsia="zh-CN"/>
        </w:rPr>
        <w:t>WZ-(2026)04023</w:t>
      </w:r>
      <w:r>
        <w:rPr>
          <w:rFonts w:hint="eastAsia" w:ascii="仿宋" w:hAnsi="仿宋" w:eastAsia="仿宋" w:cs="仿宋"/>
          <w:color w:val="000000"/>
          <w:sz w:val="32"/>
          <w:szCs w:val="32"/>
        </w:rPr>
        <w:t>]进行公开招标</w:t>
      </w:r>
      <w:r>
        <w:rPr>
          <w:rFonts w:hint="eastAsia" w:ascii="仿宋" w:hAnsi="仿宋" w:eastAsia="仿宋" w:cs="仿宋"/>
          <w:color w:val="000000"/>
          <w:sz w:val="32"/>
          <w:szCs w:val="32"/>
          <w:lang w:val="en-US" w:eastAsia="zh-CN"/>
        </w:rPr>
        <w:t>，望参加报价的单位按招标要求认真核算价格并按时报价。</w:t>
      </w:r>
      <w:r>
        <w:rPr>
          <w:rFonts w:hint="eastAsia" w:ascii="仿宋" w:hAnsi="仿宋" w:eastAsia="仿宋" w:cs="仿宋"/>
          <w:color w:val="000000"/>
          <w:sz w:val="32"/>
          <w:szCs w:val="32"/>
        </w:rPr>
        <w:t xml:space="preserve"> </w:t>
      </w:r>
    </w:p>
    <w:p w14:paraId="20F3974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开标时间：</w:t>
      </w:r>
      <w:r>
        <w:rPr>
          <w:rFonts w:hint="eastAsia" w:ascii="仿宋" w:hAnsi="仿宋" w:eastAsia="仿宋" w:cs="仿宋"/>
          <w:color w:val="FF0000"/>
          <w:sz w:val="32"/>
          <w:szCs w:val="32"/>
          <w:lang w:eastAsia="zh-CN"/>
        </w:rPr>
        <w:t>2026年</w:t>
      </w:r>
      <w:r>
        <w:rPr>
          <w:rFonts w:hint="eastAsia" w:ascii="仿宋" w:hAnsi="仿宋" w:eastAsia="仿宋" w:cs="仿宋"/>
          <w:color w:val="FF0000"/>
          <w:sz w:val="32"/>
          <w:szCs w:val="32"/>
          <w:lang w:val="en-US" w:eastAsia="zh-CN"/>
        </w:rPr>
        <w:t>4</w:t>
      </w:r>
      <w:r>
        <w:rPr>
          <w:rFonts w:hint="eastAsia" w:ascii="仿宋" w:hAnsi="仿宋" w:eastAsia="仿宋" w:cs="仿宋"/>
          <w:color w:val="FF0000"/>
          <w:sz w:val="32"/>
          <w:szCs w:val="32"/>
          <w:lang w:eastAsia="zh-CN"/>
        </w:rPr>
        <w:t>月</w:t>
      </w:r>
      <w:r>
        <w:rPr>
          <w:rFonts w:hint="eastAsia" w:ascii="仿宋" w:hAnsi="仿宋" w:eastAsia="仿宋" w:cs="仿宋"/>
          <w:color w:val="FF0000"/>
          <w:sz w:val="32"/>
          <w:szCs w:val="32"/>
          <w:lang w:val="en-US" w:eastAsia="zh-CN"/>
        </w:rPr>
        <w:t>29</w:t>
      </w:r>
      <w:r>
        <w:rPr>
          <w:rFonts w:hint="eastAsia" w:ascii="仿宋" w:hAnsi="仿宋" w:eastAsia="仿宋" w:cs="仿宋"/>
          <w:color w:val="FF0000"/>
          <w:sz w:val="32"/>
          <w:szCs w:val="32"/>
          <w:lang w:eastAsia="zh-CN"/>
        </w:rPr>
        <w:t>日</w:t>
      </w:r>
      <w:r>
        <w:rPr>
          <w:rFonts w:hint="eastAsia" w:ascii="仿宋" w:hAnsi="仿宋" w:eastAsia="仿宋" w:cs="仿宋"/>
          <w:color w:val="FF0000"/>
          <w:sz w:val="32"/>
          <w:szCs w:val="32"/>
          <w:lang w:val="en-US" w:eastAsia="zh-CN"/>
        </w:rPr>
        <w:t>10：00</w:t>
      </w:r>
      <w:r>
        <w:rPr>
          <w:rFonts w:hint="eastAsia" w:ascii="仿宋" w:hAnsi="仿宋" w:eastAsia="仿宋" w:cs="仿宋"/>
          <w:color w:val="000000"/>
          <w:sz w:val="32"/>
          <w:szCs w:val="32"/>
        </w:rPr>
        <w:t>（北京时间）</w:t>
      </w:r>
    </w:p>
    <w:p w14:paraId="5F5512F2">
      <w:pPr>
        <w:pStyle w:val="7"/>
        <w:keepNext w:val="0"/>
        <w:keepLines w:val="0"/>
        <w:pageBreakBefore w:val="0"/>
        <w:widowControl w:val="0"/>
        <w:kinsoku/>
        <w:wordWrap/>
        <w:overflowPunct/>
        <w:topLinePunct w:val="0"/>
        <w:autoSpaceDE/>
        <w:autoSpaceDN/>
        <w:bidi w:val="0"/>
        <w:adjustRightInd/>
        <w:snapToGrid/>
        <w:spacing w:after="0"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开标形式：</w:t>
      </w:r>
      <w:r>
        <w:rPr>
          <w:rFonts w:hint="eastAsia" w:ascii="仿宋" w:hAnsi="仿宋" w:eastAsia="仿宋" w:cs="仿宋"/>
          <w:color w:val="000000"/>
          <w:sz w:val="32"/>
          <w:szCs w:val="32"/>
          <w:lang w:val="en-US" w:eastAsia="zh-CN"/>
        </w:rPr>
        <w:t>现场</w:t>
      </w:r>
      <w:r>
        <w:rPr>
          <w:rFonts w:hint="eastAsia" w:ascii="仿宋" w:hAnsi="仿宋" w:eastAsia="仿宋" w:cs="仿宋"/>
          <w:color w:val="000000"/>
          <w:sz w:val="32"/>
          <w:szCs w:val="32"/>
        </w:rPr>
        <w:t>开标</w:t>
      </w:r>
    </w:p>
    <w:p w14:paraId="512E8CC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开标地点：洛阳市新安县产业集聚区万基大厦四楼开标室</w:t>
      </w:r>
    </w:p>
    <w:p w14:paraId="7EF02E8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资质审验及报名截止时间：</w:t>
      </w:r>
      <w:r>
        <w:rPr>
          <w:rFonts w:hint="eastAsia" w:ascii="仿宋" w:hAnsi="仿宋" w:eastAsia="仿宋" w:cs="仿宋"/>
          <w:color w:val="000000"/>
          <w:sz w:val="32"/>
          <w:szCs w:val="32"/>
          <w:lang w:eastAsia="zh-CN"/>
        </w:rPr>
        <w:t>2026年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lang w:eastAsia="zh-CN"/>
        </w:rPr>
        <w:t>日</w:t>
      </w:r>
      <w:r>
        <w:rPr>
          <w:rFonts w:hint="eastAsia" w:ascii="仿宋" w:hAnsi="仿宋" w:eastAsia="仿宋" w:cs="仿宋"/>
          <w:color w:val="000000"/>
          <w:sz w:val="32"/>
          <w:szCs w:val="32"/>
        </w:rPr>
        <w:t>17:</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58BBF21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商务联系人：陈攀涛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联系方式：15838577312</w:t>
      </w:r>
    </w:p>
    <w:p w14:paraId="51F49071">
      <w:pPr>
        <w:pStyle w:val="7"/>
        <w:keepNext w:val="0"/>
        <w:keepLines w:val="0"/>
        <w:pageBreakBefore w:val="0"/>
        <w:widowControl w:val="0"/>
        <w:kinsoku/>
        <w:overflowPunct/>
        <w:autoSpaceDN/>
        <w:bidi w:val="0"/>
        <w:adjustRightInd/>
        <w:snapToGrid/>
        <w:spacing w:line="480" w:lineRule="exac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rPr>
        <w:t xml:space="preserve">  </w:t>
      </w:r>
      <w:r>
        <w:rPr>
          <w:rFonts w:hint="eastAsia" w:ascii="仿宋" w:hAnsi="仿宋" w:eastAsia="仿宋" w:cs="仿宋"/>
          <w:color w:val="000000"/>
          <w:kern w:val="2"/>
          <w:sz w:val="32"/>
          <w:szCs w:val="32"/>
          <w:lang w:val="en-US" w:eastAsia="zh-CN" w:bidi="ar-SA"/>
        </w:rPr>
        <w:t>技术联系人：王广军          联系方式：18336700375</w:t>
      </w:r>
    </w:p>
    <w:p w14:paraId="4013DC4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b/>
          <w:bCs/>
          <w:color w:val="000000"/>
          <w:sz w:val="32"/>
          <w:szCs w:val="32"/>
        </w:rPr>
        <w:t>一、投标须知：</w:t>
      </w:r>
    </w:p>
    <w:p w14:paraId="6DF514C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1、</w:t>
      </w:r>
      <w:bookmarkStart w:id="0" w:name="heading_2"/>
      <w:r>
        <w:rPr>
          <w:rFonts w:hint="eastAsia" w:ascii="仿宋" w:hAnsi="仿宋" w:eastAsia="仿宋" w:cs="仿宋"/>
          <w:color w:val="000000"/>
          <w:sz w:val="32"/>
          <w:szCs w:val="32"/>
        </w:rPr>
        <w:t>招标范围</w:t>
      </w:r>
      <w:bookmarkEnd w:id="0"/>
    </w:p>
    <w:p w14:paraId="52F5B7F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本次招标采购AED设备一批，具体规格及要求如下：</w:t>
      </w:r>
    </w:p>
    <w:p w14:paraId="0EFC4B7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品牌要求：国内一线品牌（参考2026年Q1中国AED市场本土头部品牌，包括久心医疗、迈瑞医疗、安保医疗、鱼跃医疗、联鹿医疗等，需提供品牌行业排名证明或相关资质佐证）；</w:t>
      </w:r>
    </w:p>
    <w:p w14:paraId="3B5AC18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设备配置：必须配备显示屏，支持清晰显示操作指引、设备状态、心律分析结果等关键信息；</w:t>
      </w:r>
    </w:p>
    <w:p w14:paraId="4920C53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数量要求：总采购数量为18台；</w:t>
      </w:r>
    </w:p>
    <w:p w14:paraId="164A9A7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质量标准：符合国家医疗器械相关标准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医用电气设备 第2-4部分：心脏除颤器的基本安全和基本性能专用要求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GB 9706.204-2022），具备国家药品监督管理局（NMPA）颁发的医疗器械注册证，确保设备安全有效。</w:t>
      </w:r>
    </w:p>
    <w:p w14:paraId="0A693C6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、资质要求：</w:t>
      </w:r>
    </w:p>
    <w:p w14:paraId="56B994A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rPr>
      </w:pPr>
      <w:r>
        <w:rPr>
          <w:rFonts w:hint="eastAsia" w:ascii="仿宋" w:hAnsi="仿宋" w:eastAsia="仿宋" w:cs="仿宋"/>
          <w:color w:val="000000"/>
          <w:sz w:val="32"/>
          <w:szCs w:val="32"/>
        </w:rPr>
        <w:t>投标人需同时满足以下资格条件，否则投标文件无效：</w:t>
      </w:r>
    </w:p>
    <w:p w14:paraId="536068B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.1、投标人须为在中华人民共和国境内注册，具有独立法人资格，持有有效的营业执照、税务登记证（或三证合一证件），能够独立承担民事责任和合同义务。</w:t>
      </w:r>
    </w:p>
    <w:p w14:paraId="3584805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.2、投标人须为本次招标要求的国内一线AED品牌的生产商或授权经销商；若为授权经销商，需提供品牌生产商出具的正式授权委托书（原件备查），确保所供设备为原厂正品，杜绝串货、假货。</w:t>
      </w:r>
    </w:p>
    <w:p w14:paraId="771BB95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2.3、医疗器械资质：</w:t>
      </w:r>
    </w:p>
    <w:p w14:paraId="514183E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（1）若为生产商：需提供《医疗器械生产许可证》（第二类、第三类医疗器械）或第一类医疗器械生产备案凭证；</w:t>
      </w:r>
    </w:p>
    <w:p w14:paraId="41A4560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（2）若为经销商：需提供《医疗器械经营许可证》（第三类医疗器械）或第二类医疗器械经营备案凭证；</w:t>
      </w:r>
    </w:p>
    <w:p w14:paraId="42EF1E4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（3）所供AED设备须具备国家药品监督管理局颁发的《医疗器械注册证》及附件，确保产品符合国家医疗标准。</w:t>
      </w:r>
    </w:p>
    <w:p w14:paraId="18FFA98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投标人近3年内无重大违法违规记录、无重大质量投诉、无失信行为，未被“信用中国”“中国政府采购网”列入失信被执行人、重大税收违法失信主体、政府采购严重违法失信行为记录名单（需提供信用查询截图，加盖公章）。</w:t>
      </w:r>
    </w:p>
    <w:p w14:paraId="52CC8ED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近3年内（自招标公告发布之日起倒算），投标人须具有至少</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个及以上AED设备批量采购业绩，需提供合同复印件（加盖公章）作为佐证，原件备查。</w:t>
      </w:r>
    </w:p>
    <w:p w14:paraId="755A263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近</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年内（自招标公告发布之日起倒算）财务状况良好，无破产、清算记录，具备足够的资金实力完成本项目供货及相关服务（提供近2年财务报表复印件，加盖投标人公章）。</w:t>
      </w:r>
    </w:p>
    <w:p w14:paraId="56457FF3">
      <w:pPr>
        <w:pStyle w:val="8"/>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2.7、单位负责人为同一人或者存在直接控股、管理关系的不同供应商，不得同时参加本次投标。</w:t>
      </w:r>
    </w:p>
    <w:p w14:paraId="632D043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本项目不接受联合体投标，不允许转包、违法分包。</w:t>
      </w:r>
    </w:p>
    <w:p w14:paraId="7CEEFBE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招标文件的获取</w:t>
      </w:r>
    </w:p>
    <w:p w14:paraId="6D224AA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、未在招标中心备案的投标人，需提供企业法人营业执照（年审过的有效件且必须有标的物经营范围）副本加盖公章扫描件一份、法人授权书、法人及投标人身份证复印件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医疗器械相关资质证书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品牌授权委托</w:t>
      </w:r>
      <w:r>
        <w:rPr>
          <w:rFonts w:hint="eastAsia" w:ascii="仿宋" w:hAnsi="仿宋" w:eastAsia="仿宋" w:cs="仿宋"/>
          <w:color w:val="000000"/>
          <w:sz w:val="32"/>
          <w:szCs w:val="32"/>
          <w:lang w:val="en-US" w:eastAsia="zh-CN"/>
        </w:rPr>
        <w:t>书、</w:t>
      </w:r>
      <w:r>
        <w:rPr>
          <w:rFonts w:hint="eastAsia" w:ascii="仿宋" w:hAnsi="仿宋" w:eastAsia="仿宋" w:cs="仿宋"/>
          <w:color w:val="000000"/>
          <w:sz w:val="32"/>
          <w:szCs w:val="32"/>
        </w:rPr>
        <w:t>近3年AED批量采购业绩合同复印件一份作资质预审，将资质文件做PDF格式文件发送至邮箱879009727@qq.com；资质预审截止</w:t>
      </w:r>
      <w:r>
        <w:rPr>
          <w:rFonts w:hint="eastAsia" w:ascii="仿宋" w:hAnsi="仿宋" w:eastAsia="仿宋" w:cs="仿宋"/>
          <w:color w:val="000000"/>
          <w:sz w:val="32"/>
          <w:szCs w:val="32"/>
          <w:lang w:val="en-US" w:eastAsia="zh-CN"/>
        </w:rPr>
        <w:t>时间： 2026年4月28日17:30前，逾期未审者不得参与本次招标。</w:t>
      </w:r>
    </w:p>
    <w:p w14:paraId="3EDA475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3.2资质预审通过后，由招标办通过合适的方式发送至投标单位。</w:t>
      </w:r>
    </w:p>
    <w:p w14:paraId="63D99D1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4、投标文件的递交</w:t>
      </w:r>
    </w:p>
    <w:p w14:paraId="443B5EF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1）投标人应编制投标文件正本1份和副本2份，每套投标文件须清楚地标明“正本”或“副本”。若正本和副本不符，以正本为准。投标报价单（见附件）请单独密封，便于唱标。</w:t>
      </w:r>
    </w:p>
    <w:p w14:paraId="10120D7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2）投标文件递交的截止时间：2026年4月29日10：00（北京时间）。</w:t>
      </w:r>
    </w:p>
    <w:p w14:paraId="04E8F44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5、违约：认真阅读招标文件、合同条款、技术要求，参与投标即视同完全响应（差异表所列内容除外）。中标单位必须严格按照投标文件及投标报价单(价格、付款方式)签订合同及技术协议，否则即为违约；</w:t>
      </w:r>
    </w:p>
    <w:p w14:paraId="6276660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6、供货范围及技术规范：详见技术要求；</w:t>
      </w:r>
    </w:p>
    <w:p w14:paraId="48BCB0A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7、解决招标纠纷的方式：双方友好协商；协商不成，提交招标方所在地有管辖权的人民法院裁决。</w:t>
      </w:r>
    </w:p>
    <w:p w14:paraId="788828F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8、投标人在本次投标中若发现违规违纪问题可直接向招标单位纪委举报，举报电话：0379-67333039。</w:t>
      </w:r>
    </w:p>
    <w:p w14:paraId="5E7DA84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二、投标文件</w:t>
      </w:r>
    </w:p>
    <w:p w14:paraId="74E3943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1、投标文件的编制</w:t>
      </w:r>
    </w:p>
    <w:p w14:paraId="4C929E4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需按以下内容编制，一式正本1份、副本3份，正本与副本内容一致，副本可复印，正本需加盖投标人公章及法定代表人签字（或授权代理人签字），副本加盖公章，密封包装并在封皮注明“正本”“副本”及投标人名称、项目名称。</w:t>
      </w:r>
    </w:p>
    <w:p w14:paraId="51BC2E8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投标文件应包含以下内容：</w:t>
      </w:r>
    </w:p>
    <w:p w14:paraId="080E3FE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I、投标报价单（需明确投标报价、设备品牌型号、供货周期、售后服务承诺等）；</w:t>
      </w:r>
    </w:p>
    <w:p w14:paraId="3F7D130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II、法定代表人身份证明及授权委托书（若有）；</w:t>
      </w:r>
    </w:p>
    <w:p w14:paraId="534EE72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III、投标人资质证明文件（营业执照、医疗器械相关资质、品牌授权等）；</w:t>
      </w:r>
    </w:p>
    <w:p w14:paraId="230E1B6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IV、业绩证明材料（近3年批量采购合同复印件）</w:t>
      </w:r>
    </w:p>
    <w:p w14:paraId="044C06F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V、设备详细参数说明：需对照招标要求及以下详细参数列表如实填写，明确设备显示屏规格、性能参数、配件清单等，附产品说明书；投标人需逐项对应填写具体参数值，不得遗漏、虚假填报，未填写或填报不明确的，将酌情扣分。</w:t>
      </w:r>
    </w:p>
    <w:p w14:paraId="5A6FBF90">
      <w:pPr>
        <w:pStyle w:val="8"/>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sz w:val="32"/>
          <w:szCs w:val="32"/>
          <w:lang w:val="en-US" w:eastAsia="zh-CN"/>
        </w:rPr>
        <w:t>VI、</w:t>
      </w:r>
      <w:r>
        <w:rPr>
          <w:rFonts w:hint="eastAsia" w:ascii="仿宋" w:hAnsi="仿宋" w:eastAsia="仿宋" w:cs="仿宋"/>
          <w:color w:val="000000"/>
          <w:kern w:val="2"/>
          <w:sz w:val="32"/>
          <w:szCs w:val="32"/>
          <w:lang w:val="en-US" w:eastAsia="zh-CN" w:bidi="ar-SA"/>
        </w:rPr>
        <w:t>售后服务方案（包括维修响应时间、保养周期、耗材供应、培训服务、设备质保期等）</w:t>
      </w:r>
    </w:p>
    <w:p w14:paraId="1565CA50">
      <w:pPr>
        <w:pStyle w:val="8"/>
        <w:rPr>
          <w:rFonts w:hint="default"/>
          <w:lang w:val="en-US" w:eastAsia="zh-CN"/>
        </w:rPr>
      </w:pPr>
      <w:r>
        <w:rPr>
          <w:rFonts w:hint="eastAsia" w:ascii="仿宋" w:hAnsi="仿宋" w:eastAsia="仿宋" w:cs="仿宋"/>
          <w:color w:val="000000"/>
          <w:kern w:val="2"/>
          <w:sz w:val="32"/>
          <w:szCs w:val="32"/>
          <w:lang w:val="en-US" w:eastAsia="zh-CN" w:bidi="ar-SA"/>
        </w:rPr>
        <w:t>VII、投标人认为需要提供的其他相关材料（如产品检测报告、品牌行业排名证明等），其中品牌佐证材料需按本方案“招标范围”中明确的形式提交，所有补充材料均需为复印件（清晰可辨），加盖投标人公章，相关原件开标时备查。</w:t>
      </w:r>
    </w:p>
    <w:p w14:paraId="1E2911B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 xml:space="preserve"> 投标有效期</w:t>
      </w:r>
    </w:p>
    <w:p w14:paraId="2D6DCDD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投标文件从开标之日起，投标有效期为90天。</w:t>
      </w:r>
    </w:p>
    <w:p w14:paraId="162B9FBB">
      <w:pPr>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 xml:space="preserve"> 评标办法</w:t>
      </w:r>
    </w:p>
    <w:p w14:paraId="0B45358A">
      <w:pPr>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本次评标采用综合评分法，评标委员会根据投标人的投标文件，从</w:t>
      </w:r>
      <w:r>
        <w:rPr>
          <w:rFonts w:hint="eastAsia" w:ascii="仿宋" w:hAnsi="仿宋" w:eastAsia="仿宋" w:cs="仿宋"/>
          <w:sz w:val="32"/>
          <w:szCs w:val="32"/>
          <w:lang w:val="en-US" w:eastAsia="zh-CN"/>
        </w:rPr>
        <w:t>评分表中所列内容</w:t>
      </w:r>
      <w:r>
        <w:rPr>
          <w:rFonts w:hint="eastAsia" w:ascii="仿宋" w:hAnsi="仿宋" w:eastAsia="仿宋" w:cs="仿宋"/>
          <w:sz w:val="32"/>
          <w:szCs w:val="32"/>
        </w:rPr>
        <w:t>进行综合评分，总分100分，</w:t>
      </w:r>
      <w:r>
        <w:rPr>
          <w:rFonts w:hint="eastAsia" w:ascii="仿宋" w:hAnsi="仿宋" w:eastAsia="仿宋" w:cs="仿宋"/>
          <w:sz w:val="32"/>
          <w:szCs w:val="32"/>
          <w:lang w:val="en-US" w:eastAsia="zh-CN"/>
        </w:rPr>
        <w:t>另设品牌加分10分，根据投标单位所报品牌排名打分（需附证明材料），</w:t>
      </w:r>
      <w:r>
        <w:rPr>
          <w:rFonts w:hint="eastAsia" w:ascii="仿宋" w:hAnsi="仿宋" w:eastAsia="仿宋" w:cs="仿宋"/>
          <w:sz w:val="32"/>
          <w:szCs w:val="32"/>
        </w:rPr>
        <w:t>得分最高者为中标候选人（若总分相同，报价低者优先；报价相同，品牌排名靠前、业绩更优者优先）。</w:t>
      </w:r>
    </w:p>
    <w:p w14:paraId="16084A8B">
      <w:pPr>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评分标准</w:t>
      </w:r>
    </w:p>
    <w:tbl>
      <w:tblPr>
        <w:tblStyle w:val="9"/>
        <w:tblpPr w:leftFromText="180" w:rightFromText="180" w:vertAnchor="text" w:horzAnchor="page" w:tblpX="1692" w:tblpY="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077"/>
        <w:gridCol w:w="687"/>
        <w:gridCol w:w="705"/>
        <w:gridCol w:w="5414"/>
      </w:tblGrid>
      <w:tr w14:paraId="3B37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51C55BBF">
            <w:pPr>
              <w:jc w:val="both"/>
              <w:rPr>
                <w:rFonts w:hint="eastAsia" w:ascii="宋体" w:hAnsi="宋体" w:eastAsia="宋体" w:cs="宋体"/>
                <w:b/>
                <w:bCs/>
                <w:color w:val="auto"/>
              </w:rPr>
            </w:pPr>
            <w:r>
              <w:rPr>
                <w:rFonts w:hint="eastAsia" w:ascii="宋体" w:hAnsi="宋体" w:eastAsia="宋体" w:cs="宋体"/>
                <w:b/>
                <w:bCs/>
                <w:color w:val="auto"/>
              </w:rPr>
              <w:t>序号</w:t>
            </w:r>
          </w:p>
        </w:tc>
        <w:tc>
          <w:tcPr>
            <w:tcW w:w="1077" w:type="dxa"/>
            <w:noWrap w:val="0"/>
            <w:vAlign w:val="top"/>
          </w:tcPr>
          <w:p w14:paraId="557E819B">
            <w:pPr>
              <w:jc w:val="center"/>
              <w:rPr>
                <w:rFonts w:hint="eastAsia" w:ascii="宋体" w:hAnsi="宋体" w:eastAsia="宋体" w:cs="宋体"/>
                <w:b/>
                <w:bCs/>
                <w:color w:val="auto"/>
              </w:rPr>
            </w:pPr>
            <w:r>
              <w:rPr>
                <w:rFonts w:hint="eastAsia" w:ascii="宋体" w:hAnsi="宋体" w:eastAsia="宋体" w:cs="宋体"/>
                <w:b/>
                <w:bCs/>
                <w:color w:val="auto"/>
              </w:rPr>
              <w:t>评分内容</w:t>
            </w:r>
          </w:p>
        </w:tc>
        <w:tc>
          <w:tcPr>
            <w:tcW w:w="687" w:type="dxa"/>
            <w:noWrap w:val="0"/>
            <w:vAlign w:val="top"/>
          </w:tcPr>
          <w:p w14:paraId="46453DF8">
            <w:pPr>
              <w:jc w:val="center"/>
              <w:rPr>
                <w:rFonts w:hint="eastAsia" w:ascii="宋体" w:hAnsi="宋体" w:eastAsia="宋体" w:cs="宋体"/>
                <w:b/>
                <w:bCs/>
                <w:color w:val="auto"/>
              </w:rPr>
            </w:pPr>
            <w:r>
              <w:rPr>
                <w:rFonts w:hint="eastAsia" w:ascii="宋体" w:hAnsi="宋体" w:eastAsia="宋体" w:cs="宋体"/>
                <w:b/>
                <w:bCs/>
                <w:color w:val="auto"/>
              </w:rPr>
              <w:t>权重</w:t>
            </w:r>
          </w:p>
        </w:tc>
        <w:tc>
          <w:tcPr>
            <w:tcW w:w="705" w:type="dxa"/>
            <w:noWrap w:val="0"/>
            <w:vAlign w:val="top"/>
          </w:tcPr>
          <w:p w14:paraId="0027F066">
            <w:pPr>
              <w:jc w:val="center"/>
              <w:rPr>
                <w:rFonts w:hint="eastAsia" w:ascii="宋体" w:hAnsi="宋体" w:eastAsia="宋体" w:cs="宋体"/>
                <w:b/>
                <w:bCs/>
                <w:color w:val="auto"/>
              </w:rPr>
            </w:pPr>
            <w:r>
              <w:rPr>
                <w:rFonts w:hint="eastAsia" w:ascii="宋体" w:hAnsi="宋体" w:eastAsia="宋体" w:cs="宋体"/>
                <w:b/>
                <w:bCs/>
                <w:color w:val="auto"/>
              </w:rPr>
              <w:t>分值</w:t>
            </w:r>
          </w:p>
        </w:tc>
        <w:tc>
          <w:tcPr>
            <w:tcW w:w="5414" w:type="dxa"/>
            <w:noWrap w:val="0"/>
            <w:vAlign w:val="top"/>
          </w:tcPr>
          <w:p w14:paraId="76D024FD">
            <w:pPr>
              <w:jc w:val="center"/>
              <w:rPr>
                <w:rFonts w:hint="eastAsia" w:ascii="宋体" w:hAnsi="宋体" w:eastAsia="宋体" w:cs="宋体"/>
                <w:b/>
                <w:bCs/>
                <w:color w:val="auto"/>
              </w:rPr>
            </w:pPr>
            <w:r>
              <w:rPr>
                <w:rFonts w:hint="eastAsia" w:ascii="宋体" w:hAnsi="宋体" w:eastAsia="宋体" w:cs="宋体"/>
                <w:b/>
                <w:bCs/>
                <w:color w:val="auto"/>
              </w:rPr>
              <w:t>评审标准</w:t>
            </w:r>
          </w:p>
        </w:tc>
      </w:tr>
      <w:tr w14:paraId="457B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noWrap w:val="0"/>
            <w:vAlign w:val="top"/>
          </w:tcPr>
          <w:p w14:paraId="4A1BB3AF">
            <w:pPr>
              <w:jc w:val="center"/>
              <w:rPr>
                <w:rFonts w:hint="eastAsia" w:ascii="宋体" w:hAnsi="宋体" w:eastAsia="宋体" w:cs="宋体"/>
                <w:b/>
                <w:bCs/>
                <w:color w:val="auto"/>
              </w:rPr>
            </w:pPr>
            <w:r>
              <w:rPr>
                <w:rFonts w:hint="eastAsia" w:ascii="宋体" w:hAnsi="宋体" w:eastAsia="宋体" w:cs="宋体"/>
                <w:b/>
                <w:bCs/>
                <w:color w:val="auto"/>
              </w:rPr>
              <w:t>商务评分细则（1</w:t>
            </w:r>
            <w:r>
              <w:rPr>
                <w:rFonts w:hint="eastAsia" w:ascii="宋体" w:hAnsi="宋体" w:eastAsia="宋体" w:cs="宋体"/>
                <w:b/>
                <w:bCs/>
                <w:color w:val="auto"/>
                <w:lang w:val="en-US" w:eastAsia="zh-CN"/>
              </w:rPr>
              <w:t>0</w:t>
            </w:r>
            <w:r>
              <w:rPr>
                <w:rFonts w:hint="eastAsia" w:ascii="宋体" w:hAnsi="宋体" w:eastAsia="宋体" w:cs="宋体"/>
                <w:b/>
                <w:bCs/>
                <w:color w:val="auto"/>
              </w:rPr>
              <w:t>分）</w:t>
            </w:r>
          </w:p>
        </w:tc>
      </w:tr>
      <w:tr w14:paraId="2C5C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638" w:type="dxa"/>
            <w:noWrap w:val="0"/>
            <w:vAlign w:val="top"/>
          </w:tcPr>
          <w:p w14:paraId="0FC6C59D">
            <w:pPr>
              <w:rPr>
                <w:rFonts w:hint="eastAsia" w:ascii="宋体" w:hAnsi="宋体" w:eastAsia="宋体" w:cs="宋体"/>
                <w:color w:val="auto"/>
              </w:rPr>
            </w:pPr>
            <w:r>
              <w:rPr>
                <w:rFonts w:hint="eastAsia" w:ascii="宋体" w:hAnsi="宋体" w:eastAsia="宋体" w:cs="宋体"/>
                <w:color w:val="auto"/>
              </w:rPr>
              <w:t>1</w:t>
            </w:r>
          </w:p>
        </w:tc>
        <w:tc>
          <w:tcPr>
            <w:tcW w:w="1077" w:type="dxa"/>
            <w:noWrap w:val="0"/>
            <w:vAlign w:val="top"/>
          </w:tcPr>
          <w:p w14:paraId="4CB17E94">
            <w:pPr>
              <w:jc w:val="center"/>
              <w:rPr>
                <w:rFonts w:hint="eastAsia" w:ascii="宋体" w:hAnsi="宋体" w:eastAsia="宋体" w:cs="宋体"/>
                <w:b/>
                <w:bCs/>
                <w:color w:val="auto"/>
              </w:rPr>
            </w:pPr>
            <w:r>
              <w:rPr>
                <w:rFonts w:hint="eastAsia" w:ascii="宋体" w:hAnsi="宋体" w:eastAsia="宋体" w:cs="宋体"/>
                <w:color w:val="auto"/>
              </w:rPr>
              <w:t>企业认证</w:t>
            </w:r>
          </w:p>
        </w:tc>
        <w:tc>
          <w:tcPr>
            <w:tcW w:w="687" w:type="dxa"/>
            <w:noWrap w:val="0"/>
            <w:vAlign w:val="top"/>
          </w:tcPr>
          <w:p w14:paraId="4A264794">
            <w:pPr>
              <w:jc w:val="center"/>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w:t>
            </w:r>
          </w:p>
        </w:tc>
        <w:tc>
          <w:tcPr>
            <w:tcW w:w="705" w:type="dxa"/>
            <w:noWrap w:val="0"/>
            <w:vAlign w:val="top"/>
          </w:tcPr>
          <w:p w14:paraId="766DABA7">
            <w:pPr>
              <w:jc w:val="center"/>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分</w:t>
            </w:r>
          </w:p>
        </w:tc>
        <w:tc>
          <w:tcPr>
            <w:tcW w:w="5414" w:type="dxa"/>
            <w:noWrap w:val="0"/>
            <w:vAlign w:val="top"/>
          </w:tcPr>
          <w:p w14:paraId="523B944D">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所投产品生产厂家具备：</w:t>
            </w:r>
          </w:p>
          <w:p w14:paraId="5F623E1B">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（1）医疗器械质量管理体系认证证书；</w:t>
            </w:r>
          </w:p>
          <w:p w14:paraId="7D21FB0C">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（2）环境管理体系认证证书；</w:t>
            </w:r>
          </w:p>
          <w:p w14:paraId="0D337A49">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（3）IECQ符合性证书。</w:t>
            </w:r>
          </w:p>
          <w:p w14:paraId="68BE5A33">
            <w:pPr>
              <w:spacing w:line="360" w:lineRule="auto"/>
              <w:rPr>
                <w:rFonts w:hint="eastAsia" w:ascii="宋体" w:hAnsi="宋体" w:eastAsia="宋体" w:cs="宋体"/>
                <w:color w:val="auto"/>
              </w:rPr>
            </w:pPr>
            <w:r>
              <w:rPr>
                <w:rFonts w:hint="eastAsia" w:ascii="宋体" w:hAnsi="宋体" w:eastAsia="宋体" w:cs="宋体"/>
                <w:color w:val="auto"/>
                <w:lang w:val="en-US" w:eastAsia="zh-CN"/>
              </w:rPr>
              <w:t>在投标文件中每提供一个证书得1分，最多得 3分。（未提供或提</w:t>
            </w:r>
            <w:r>
              <w:rPr>
                <w:rFonts w:hint="eastAsia" w:ascii="宋体" w:hAnsi="宋体" w:eastAsia="宋体" w:cs="宋体"/>
                <w:color w:val="auto"/>
              </w:rPr>
              <w:t>供的证明材料不清晰导致无法辨认的，不得分）</w:t>
            </w:r>
          </w:p>
        </w:tc>
      </w:tr>
      <w:tr w14:paraId="43A0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1B4FAFC3">
            <w:pP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077" w:type="dxa"/>
            <w:noWrap w:val="0"/>
            <w:vAlign w:val="top"/>
          </w:tcPr>
          <w:p w14:paraId="17FABA6B">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救人案例</w:t>
            </w:r>
          </w:p>
        </w:tc>
        <w:tc>
          <w:tcPr>
            <w:tcW w:w="687" w:type="dxa"/>
            <w:noWrap w:val="0"/>
            <w:vAlign w:val="top"/>
          </w:tcPr>
          <w:p w14:paraId="532A3D3A">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7</w:t>
            </w:r>
            <w:r>
              <w:rPr>
                <w:rFonts w:hint="eastAsia" w:ascii="宋体" w:hAnsi="宋体" w:eastAsia="宋体" w:cs="宋体"/>
                <w:color w:val="auto"/>
              </w:rPr>
              <w:t>%</w:t>
            </w:r>
          </w:p>
        </w:tc>
        <w:tc>
          <w:tcPr>
            <w:tcW w:w="705" w:type="dxa"/>
            <w:noWrap w:val="0"/>
            <w:vAlign w:val="top"/>
          </w:tcPr>
          <w:p w14:paraId="39D1613D">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7分</w:t>
            </w:r>
          </w:p>
        </w:tc>
        <w:tc>
          <w:tcPr>
            <w:tcW w:w="5414" w:type="dxa"/>
            <w:noWrap w:val="0"/>
            <w:vAlign w:val="top"/>
          </w:tcPr>
          <w:p w14:paraId="49229075">
            <w:pPr>
              <w:spacing w:line="360" w:lineRule="auto"/>
              <w:rPr>
                <w:rFonts w:hint="eastAsia" w:ascii="宋体" w:hAnsi="宋体" w:eastAsia="宋体" w:cs="宋体"/>
                <w:color w:val="auto"/>
              </w:rPr>
            </w:pPr>
            <w:r>
              <w:rPr>
                <w:rFonts w:hint="eastAsia" w:ascii="宋体" w:hAnsi="宋体" w:eastAsia="宋体" w:cs="宋体"/>
                <w:color w:val="auto"/>
              </w:rPr>
              <w:t>提供</w:t>
            </w:r>
            <w:r>
              <w:rPr>
                <w:rFonts w:hint="eastAsia" w:ascii="宋体" w:hAnsi="宋体" w:cs="宋体"/>
                <w:color w:val="auto"/>
                <w:lang w:val="en-US" w:eastAsia="zh-CN"/>
              </w:rPr>
              <w:t>近10年（</w:t>
            </w:r>
            <w:r>
              <w:rPr>
                <w:rFonts w:hint="eastAsia" w:ascii="宋体" w:hAnsi="宋体" w:eastAsia="宋体" w:cs="宋体"/>
                <w:color w:val="auto"/>
              </w:rPr>
              <w:t>自2017年01月01日至今</w:t>
            </w:r>
            <w:r>
              <w:rPr>
                <w:rFonts w:hint="eastAsia" w:ascii="宋体" w:hAnsi="宋体" w:cs="宋体"/>
                <w:color w:val="auto"/>
                <w:lang w:eastAsia="zh-CN"/>
              </w:rPr>
              <w:t>）</w:t>
            </w:r>
            <w:r>
              <w:rPr>
                <w:rFonts w:hint="eastAsia" w:ascii="宋体" w:hAnsi="宋体" w:eastAsia="宋体" w:cs="宋体"/>
                <w:color w:val="auto"/>
              </w:rPr>
              <w:t>，所投产品</w:t>
            </w:r>
            <w:r>
              <w:rPr>
                <w:rFonts w:hint="eastAsia" w:ascii="宋体" w:hAnsi="宋体" w:cs="宋体"/>
                <w:color w:val="auto"/>
                <w:lang w:eastAsia="zh-CN"/>
              </w:rPr>
              <w:t>（</w:t>
            </w:r>
            <w:r>
              <w:rPr>
                <w:rFonts w:hint="eastAsia" w:ascii="宋体" w:hAnsi="宋体" w:cs="宋体"/>
                <w:color w:val="auto"/>
                <w:lang w:val="en-US" w:eastAsia="zh-CN"/>
              </w:rPr>
              <w:t>或该品牌</w:t>
            </w:r>
            <w:r>
              <w:rPr>
                <w:rFonts w:hint="eastAsia" w:ascii="宋体" w:hAnsi="宋体" w:cs="宋体"/>
                <w:color w:val="auto"/>
                <w:lang w:eastAsia="zh-CN"/>
              </w:rPr>
              <w:t>）</w:t>
            </w:r>
            <w:r>
              <w:rPr>
                <w:rFonts w:hint="eastAsia" w:ascii="宋体" w:hAnsi="宋体" w:eastAsia="宋体" w:cs="宋体"/>
                <w:color w:val="auto"/>
              </w:rPr>
              <w:t>国内成功施救案例，救人案例≥</w:t>
            </w:r>
            <w:r>
              <w:rPr>
                <w:rFonts w:hint="eastAsia" w:ascii="宋体" w:hAnsi="宋体" w:eastAsia="宋体" w:cs="宋体"/>
                <w:color w:val="auto"/>
                <w:lang w:val="en-US" w:eastAsia="zh-CN"/>
              </w:rPr>
              <w:t>10</w:t>
            </w:r>
            <w:r>
              <w:rPr>
                <w:rFonts w:hint="eastAsia" w:ascii="宋体" w:hAnsi="宋体" w:eastAsia="宋体" w:cs="宋体"/>
                <w:color w:val="auto"/>
              </w:rPr>
              <w:t>0例得</w:t>
            </w:r>
            <w:r>
              <w:rPr>
                <w:rFonts w:hint="eastAsia" w:ascii="宋体" w:hAnsi="宋体" w:eastAsia="宋体" w:cs="宋体"/>
                <w:color w:val="auto"/>
                <w:lang w:val="en-US" w:eastAsia="zh-CN"/>
              </w:rPr>
              <w:t>7</w:t>
            </w:r>
            <w:r>
              <w:rPr>
                <w:rFonts w:hint="eastAsia" w:ascii="宋体" w:hAnsi="宋体" w:eastAsia="宋体" w:cs="宋体"/>
                <w:color w:val="auto"/>
              </w:rPr>
              <w:t>分，</w:t>
            </w:r>
            <w:r>
              <w:rPr>
                <w:rFonts w:hint="eastAsia" w:ascii="宋体" w:hAnsi="宋体" w:eastAsia="宋体" w:cs="宋体"/>
                <w:color w:val="auto"/>
                <w:lang w:val="en-US" w:eastAsia="zh-CN"/>
              </w:rPr>
              <w:t>6</w:t>
            </w:r>
            <w:r>
              <w:rPr>
                <w:rFonts w:hint="eastAsia" w:ascii="宋体" w:hAnsi="宋体" w:eastAsia="宋体" w:cs="宋体"/>
                <w:color w:val="auto"/>
              </w:rPr>
              <w:t>0例≤国内成功施救案例＜</w:t>
            </w:r>
            <w:r>
              <w:rPr>
                <w:rFonts w:hint="eastAsia" w:ascii="宋体" w:hAnsi="宋体" w:eastAsia="宋体" w:cs="宋体"/>
                <w:color w:val="auto"/>
                <w:lang w:val="en-US" w:eastAsia="zh-CN"/>
              </w:rPr>
              <w:t>10</w:t>
            </w:r>
            <w:r>
              <w:rPr>
                <w:rFonts w:hint="eastAsia" w:ascii="宋体" w:hAnsi="宋体" w:eastAsia="宋体" w:cs="宋体"/>
                <w:color w:val="auto"/>
              </w:rPr>
              <w:t>0例得</w:t>
            </w:r>
            <w:r>
              <w:rPr>
                <w:rFonts w:hint="eastAsia" w:ascii="宋体" w:hAnsi="宋体" w:eastAsia="宋体" w:cs="宋体"/>
                <w:color w:val="auto"/>
                <w:lang w:val="en-US" w:eastAsia="zh-CN"/>
              </w:rPr>
              <w:t>4</w:t>
            </w:r>
            <w:r>
              <w:rPr>
                <w:rFonts w:hint="eastAsia" w:ascii="宋体" w:hAnsi="宋体" w:eastAsia="宋体" w:cs="宋体"/>
                <w:color w:val="auto"/>
              </w:rPr>
              <w:t>分，</w:t>
            </w:r>
            <w:r>
              <w:rPr>
                <w:rFonts w:hint="eastAsia" w:ascii="宋体" w:hAnsi="宋体" w:eastAsia="宋体" w:cs="宋体"/>
                <w:color w:val="auto"/>
                <w:lang w:val="en-US" w:eastAsia="zh-CN"/>
              </w:rPr>
              <w:t>2</w:t>
            </w:r>
            <w:r>
              <w:rPr>
                <w:rFonts w:hint="eastAsia" w:ascii="宋体" w:hAnsi="宋体" w:eastAsia="宋体" w:cs="宋体"/>
                <w:color w:val="auto"/>
              </w:rPr>
              <w:t>0例≤国内成功施救案例＜</w:t>
            </w:r>
            <w:r>
              <w:rPr>
                <w:rFonts w:hint="eastAsia" w:ascii="宋体" w:hAnsi="宋体" w:eastAsia="宋体" w:cs="宋体"/>
                <w:color w:val="auto"/>
                <w:lang w:val="en-US" w:eastAsia="zh-CN"/>
              </w:rPr>
              <w:t>6</w:t>
            </w:r>
            <w:r>
              <w:rPr>
                <w:rFonts w:hint="eastAsia" w:ascii="宋体" w:hAnsi="宋体" w:eastAsia="宋体" w:cs="宋体"/>
                <w:color w:val="auto"/>
              </w:rPr>
              <w:t>0例得</w:t>
            </w:r>
            <w:r>
              <w:rPr>
                <w:rFonts w:hint="eastAsia" w:ascii="宋体" w:hAnsi="宋体" w:eastAsia="宋体" w:cs="宋体"/>
                <w:color w:val="auto"/>
                <w:lang w:val="en-US" w:eastAsia="zh-CN"/>
              </w:rPr>
              <w:t>2</w:t>
            </w:r>
            <w:r>
              <w:rPr>
                <w:rFonts w:hint="eastAsia" w:ascii="宋体" w:hAnsi="宋体" w:eastAsia="宋体" w:cs="宋体"/>
                <w:color w:val="auto"/>
              </w:rPr>
              <w:t>分，</w:t>
            </w:r>
            <w:r>
              <w:rPr>
                <w:rFonts w:hint="eastAsia" w:ascii="宋体" w:hAnsi="宋体" w:eastAsia="宋体" w:cs="宋体"/>
                <w:color w:val="auto"/>
                <w:lang w:val="en-US" w:eastAsia="zh-CN"/>
              </w:rPr>
              <w:t>2</w:t>
            </w:r>
            <w:r>
              <w:rPr>
                <w:rFonts w:hint="eastAsia" w:ascii="宋体" w:hAnsi="宋体" w:eastAsia="宋体" w:cs="宋体"/>
                <w:color w:val="auto"/>
              </w:rPr>
              <w:t>0例以下得0分，提供相关媒体报道截图或链接等证明材料，否则不得分。</w:t>
            </w:r>
          </w:p>
        </w:tc>
      </w:tr>
      <w:tr w14:paraId="34FF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noWrap w:val="0"/>
            <w:vAlign w:val="top"/>
          </w:tcPr>
          <w:p w14:paraId="6CF66050">
            <w:pPr>
              <w:jc w:val="center"/>
              <w:rPr>
                <w:rFonts w:hint="eastAsia" w:ascii="宋体" w:hAnsi="宋体" w:eastAsia="宋体" w:cs="宋体"/>
                <w:b/>
                <w:bCs/>
                <w:color w:val="auto"/>
              </w:rPr>
            </w:pPr>
            <w:r>
              <w:rPr>
                <w:rFonts w:hint="eastAsia" w:ascii="宋体" w:hAnsi="宋体" w:eastAsia="宋体" w:cs="宋体"/>
                <w:b/>
                <w:bCs/>
                <w:color w:val="auto"/>
              </w:rPr>
              <w:t>技术评审细则（</w:t>
            </w:r>
            <w:r>
              <w:rPr>
                <w:rFonts w:hint="eastAsia" w:ascii="宋体" w:hAnsi="宋体" w:eastAsia="宋体" w:cs="宋体"/>
                <w:b/>
                <w:bCs/>
                <w:color w:val="auto"/>
                <w:lang w:val="en-US" w:eastAsia="zh-CN"/>
              </w:rPr>
              <w:t>70</w:t>
            </w:r>
            <w:r>
              <w:rPr>
                <w:rFonts w:hint="eastAsia" w:ascii="宋体" w:hAnsi="宋体" w:eastAsia="宋体" w:cs="宋体"/>
                <w:b/>
                <w:bCs/>
                <w:color w:val="auto"/>
              </w:rPr>
              <w:t>分）</w:t>
            </w:r>
          </w:p>
        </w:tc>
      </w:tr>
      <w:tr w14:paraId="4364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7DFE2B60">
            <w:pP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077" w:type="dxa"/>
            <w:noWrap w:val="0"/>
            <w:vAlign w:val="top"/>
          </w:tcPr>
          <w:p w14:paraId="7F2D745A">
            <w:pPr>
              <w:rPr>
                <w:rFonts w:hint="eastAsia" w:ascii="宋体" w:hAnsi="宋体" w:eastAsia="宋体" w:cs="宋体"/>
                <w:color w:val="auto"/>
              </w:rPr>
            </w:pPr>
            <w:r>
              <w:rPr>
                <w:rFonts w:hint="eastAsia" w:ascii="宋体" w:hAnsi="宋体" w:eastAsia="宋体" w:cs="宋体"/>
                <w:color w:val="auto"/>
              </w:rPr>
              <w:t>参数响应情况</w:t>
            </w:r>
          </w:p>
        </w:tc>
        <w:tc>
          <w:tcPr>
            <w:tcW w:w="687" w:type="dxa"/>
            <w:noWrap w:val="0"/>
            <w:vAlign w:val="top"/>
          </w:tcPr>
          <w:p w14:paraId="5644EFC8">
            <w:pP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tc>
        <w:tc>
          <w:tcPr>
            <w:tcW w:w="705" w:type="dxa"/>
            <w:noWrap w:val="0"/>
            <w:vAlign w:val="top"/>
          </w:tcPr>
          <w:p w14:paraId="624F067C">
            <w:pPr>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分</w:t>
            </w:r>
          </w:p>
        </w:tc>
        <w:tc>
          <w:tcPr>
            <w:tcW w:w="5414" w:type="dxa"/>
            <w:noWrap w:val="0"/>
            <w:vAlign w:val="top"/>
          </w:tcPr>
          <w:p w14:paraId="77976BC5">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在招标文件中凡有“★”标识的内容条款被视为重要的响应要求、技术指标要求和性能要求。投标人必须对此作出回答并完全满足这些要求，不可以出现任何负偏离，如果出现负偏离则将被视为无效投标。</w:t>
            </w:r>
          </w:p>
          <w:p w14:paraId="73226688">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“▲”标识的内容条款视为常规响应要求，总记8条，每项条款出现负偏离扣3分，扣完为止。</w:t>
            </w:r>
          </w:p>
          <w:p w14:paraId="47067E6B">
            <w:pPr>
              <w:spacing w:line="360" w:lineRule="auto"/>
              <w:rPr>
                <w:rFonts w:hint="default" w:ascii="宋体" w:hAnsi="宋体" w:eastAsia="宋体" w:cs="宋体"/>
                <w:color w:val="auto"/>
                <w:lang w:val="en-US" w:eastAsia="zh-CN"/>
              </w:rPr>
            </w:pPr>
            <w:r>
              <w:rPr>
                <w:rFonts w:hint="eastAsia" w:ascii="宋体" w:hAnsi="宋体" w:eastAsia="宋体" w:cs="宋体"/>
                <w:color w:val="auto"/>
                <w:lang w:val="en-US" w:eastAsia="zh-CN"/>
              </w:rPr>
              <w:t>非“★”“▲”标识的内容条款视为一般响应要求，总计6条，每项条款出现负偏离扣2分，扣完为止。</w:t>
            </w:r>
          </w:p>
          <w:p w14:paraId="42BE194B">
            <w:pPr>
              <w:spacing w:line="360" w:lineRule="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备注：</w:t>
            </w:r>
          </w:p>
          <w:p w14:paraId="3D612E95">
            <w:pPr>
              <w:spacing w:line="360" w:lineRule="auto"/>
              <w:rPr>
                <w:rFonts w:hint="eastAsia" w:ascii="宋体" w:hAnsi="宋体" w:eastAsia="宋体" w:cs="宋体"/>
                <w:b/>
                <w:bCs/>
                <w:color w:val="auto"/>
                <w:sz w:val="18"/>
                <w:szCs w:val="18"/>
              </w:rPr>
            </w:pPr>
            <w:r>
              <w:rPr>
                <w:rFonts w:hint="eastAsia" w:ascii="宋体" w:hAnsi="宋体" w:eastAsia="宋体" w:cs="宋体"/>
                <w:b/>
                <w:bCs/>
                <w:color w:val="auto"/>
                <w:sz w:val="18"/>
                <w:szCs w:val="18"/>
              </w:rPr>
              <w:t>1. 须提供产品说明书</w:t>
            </w:r>
            <w:r>
              <w:rPr>
                <w:rFonts w:hint="eastAsia" w:ascii="宋体" w:hAnsi="宋体" w:eastAsia="宋体" w:cs="宋体"/>
                <w:b/>
                <w:bCs/>
                <w:color w:val="auto"/>
                <w:sz w:val="18"/>
                <w:szCs w:val="18"/>
                <w:lang w:val="en-US" w:eastAsia="zh-CN"/>
              </w:rPr>
              <w:t>等证明材料</w:t>
            </w:r>
            <w:r>
              <w:rPr>
                <w:rFonts w:hint="eastAsia" w:ascii="宋体" w:hAnsi="宋体" w:eastAsia="宋体" w:cs="宋体"/>
                <w:b/>
                <w:bCs/>
                <w:color w:val="auto"/>
                <w:sz w:val="18"/>
                <w:szCs w:val="18"/>
              </w:rPr>
              <w:t>作为评审依据。</w:t>
            </w:r>
          </w:p>
          <w:p w14:paraId="2B57B265">
            <w:pPr>
              <w:spacing w:line="360" w:lineRule="auto"/>
              <w:rPr>
                <w:rFonts w:hint="eastAsia" w:ascii="宋体" w:hAnsi="宋体" w:eastAsia="宋体" w:cs="宋体"/>
                <w:color w:val="auto"/>
              </w:rPr>
            </w:pPr>
            <w:r>
              <w:rPr>
                <w:rFonts w:hint="eastAsia" w:ascii="宋体" w:hAnsi="宋体" w:eastAsia="宋体" w:cs="宋体"/>
                <w:b/>
                <w:bCs/>
                <w:color w:val="auto"/>
                <w:sz w:val="18"/>
                <w:szCs w:val="18"/>
              </w:rPr>
              <w:t>2. 所提供的资料内容不完整或不清晰导致评审无法判断响应情况的，不得分。</w:t>
            </w:r>
          </w:p>
        </w:tc>
      </w:tr>
      <w:tr w14:paraId="1DFB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038931D1">
            <w:pP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1077" w:type="dxa"/>
            <w:noWrap w:val="0"/>
            <w:vAlign w:val="top"/>
          </w:tcPr>
          <w:p w14:paraId="128F8813">
            <w:pPr>
              <w:rPr>
                <w:rFonts w:hint="default" w:ascii="宋体" w:hAnsi="宋体" w:eastAsia="宋体" w:cs="宋体"/>
                <w:color w:val="auto"/>
                <w:lang w:val="en-US" w:eastAsia="zh-CN"/>
              </w:rPr>
            </w:pPr>
            <w:r>
              <w:rPr>
                <w:rFonts w:hint="eastAsia" w:ascii="宋体" w:hAnsi="宋体" w:eastAsia="宋体" w:cs="宋体"/>
                <w:color w:val="auto"/>
                <w:highlight w:val="none"/>
                <w:lang w:val="en-US" w:eastAsia="zh-CN"/>
              </w:rPr>
              <w:t>交付</w:t>
            </w:r>
            <w:r>
              <w:rPr>
                <w:rFonts w:hint="eastAsia" w:ascii="宋体" w:hAnsi="宋体" w:eastAsia="宋体" w:cs="宋体"/>
                <w:color w:val="auto"/>
                <w:lang w:val="en-US" w:eastAsia="zh-CN"/>
              </w:rPr>
              <w:t>方案</w:t>
            </w:r>
          </w:p>
        </w:tc>
        <w:tc>
          <w:tcPr>
            <w:tcW w:w="687" w:type="dxa"/>
            <w:noWrap w:val="0"/>
            <w:vAlign w:val="top"/>
          </w:tcPr>
          <w:p w14:paraId="644A0E35">
            <w:pPr>
              <w:rPr>
                <w:rFonts w:hint="eastAsia" w:ascii="宋体" w:hAnsi="宋体" w:eastAsia="宋体" w:cs="宋体"/>
                <w:color w:val="auto"/>
                <w:lang w:val="en-US" w:eastAsia="zh-CN"/>
              </w:rPr>
            </w:pPr>
            <w:r>
              <w:rPr>
                <w:rFonts w:hint="eastAsia" w:ascii="宋体" w:hAnsi="宋体" w:eastAsia="宋体" w:cs="宋体"/>
                <w:color w:val="auto"/>
                <w:lang w:val="en-US" w:eastAsia="zh-CN"/>
              </w:rPr>
              <w:t>10</w:t>
            </w:r>
            <w:r>
              <w:rPr>
                <w:rFonts w:hint="eastAsia" w:ascii="宋体" w:hAnsi="宋体" w:eastAsia="宋体" w:cs="宋体"/>
                <w:color w:val="auto"/>
              </w:rPr>
              <w:t>%</w:t>
            </w:r>
          </w:p>
        </w:tc>
        <w:tc>
          <w:tcPr>
            <w:tcW w:w="705" w:type="dxa"/>
            <w:noWrap w:val="0"/>
            <w:vAlign w:val="top"/>
          </w:tcPr>
          <w:p w14:paraId="7B1E1BAC">
            <w:pPr>
              <w:rPr>
                <w:rFonts w:hint="eastAsia" w:ascii="宋体" w:hAnsi="宋体" w:eastAsia="宋体" w:cs="宋体"/>
                <w:color w:val="auto"/>
                <w:lang w:val="en-US" w:eastAsia="zh-CN"/>
              </w:rPr>
            </w:pPr>
            <w:r>
              <w:rPr>
                <w:rFonts w:hint="eastAsia" w:ascii="宋体" w:hAnsi="宋体" w:eastAsia="宋体" w:cs="宋体"/>
                <w:color w:val="auto"/>
                <w:lang w:val="en-US" w:eastAsia="zh-CN"/>
              </w:rPr>
              <w:t>10</w:t>
            </w:r>
            <w:r>
              <w:rPr>
                <w:rFonts w:hint="eastAsia" w:ascii="宋体" w:hAnsi="宋体" w:eastAsia="宋体" w:cs="宋体"/>
                <w:color w:val="auto"/>
              </w:rPr>
              <w:t>分</w:t>
            </w:r>
          </w:p>
        </w:tc>
        <w:tc>
          <w:tcPr>
            <w:tcW w:w="5414" w:type="dxa"/>
            <w:noWrap w:val="0"/>
            <w:vAlign w:val="top"/>
          </w:tcPr>
          <w:p w14:paraId="348A5B4E">
            <w:pPr>
              <w:numPr>
                <w:ilvl w:val="0"/>
                <w:numId w:val="0"/>
              </w:numPr>
              <w:spacing w:line="360" w:lineRule="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为确保交付工作的顺利开展需提供完成的交付方案</w:t>
            </w:r>
          </w:p>
          <w:p w14:paraId="16DF822B">
            <w:pPr>
              <w:numPr>
                <w:ilvl w:val="0"/>
                <w:numId w:val="0"/>
              </w:num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方案包含但不限于以下内容：</w:t>
            </w:r>
          </w:p>
          <w:p w14:paraId="633B7D46">
            <w:pPr>
              <w:numPr>
                <w:ilvl w:val="0"/>
                <w:numId w:val="0"/>
              </w:num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①货物仓储管理方案 </w:t>
            </w:r>
          </w:p>
          <w:p w14:paraId="38F850CE">
            <w:pPr>
              <w:numPr>
                <w:ilvl w:val="0"/>
                <w:numId w:val="0"/>
              </w:num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②物流运输管理方案 </w:t>
            </w:r>
          </w:p>
          <w:p w14:paraId="6D90A1B0">
            <w:pPr>
              <w:numPr>
                <w:ilvl w:val="0"/>
                <w:numId w:val="0"/>
              </w:num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③交付流程方案</w:t>
            </w:r>
          </w:p>
          <w:p w14:paraId="38F87850">
            <w:pPr>
              <w:numPr>
                <w:ilvl w:val="0"/>
                <w:numId w:val="0"/>
              </w:num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④应急方案；</w:t>
            </w:r>
          </w:p>
          <w:p w14:paraId="05AB4948">
            <w:pPr>
              <w:numPr>
                <w:ilvl w:val="0"/>
                <w:numId w:val="0"/>
              </w:numPr>
              <w:spacing w:line="360" w:lineRule="auto"/>
              <w:rPr>
                <w:rFonts w:hint="eastAsia" w:ascii="宋体" w:hAnsi="宋体" w:eastAsia="宋体" w:cs="宋体"/>
                <w:color w:val="auto"/>
                <w:lang w:eastAsia="zh-CN"/>
              </w:rPr>
            </w:pPr>
            <w:r>
              <w:rPr>
                <w:rFonts w:hint="eastAsia" w:ascii="宋体" w:hAnsi="宋体" w:eastAsia="宋体" w:cs="宋体"/>
                <w:color w:val="auto"/>
              </w:rPr>
              <w:t>根据方案的完整性、可操作性进行评估</w:t>
            </w:r>
            <w:r>
              <w:rPr>
                <w:rFonts w:hint="eastAsia" w:ascii="宋体" w:hAnsi="宋体" w:eastAsia="宋体" w:cs="宋体"/>
                <w:color w:val="auto"/>
                <w:lang w:eastAsia="zh-CN"/>
              </w:rPr>
              <w:t>；</w:t>
            </w:r>
          </w:p>
          <w:p w14:paraId="1C4999CD">
            <w:pPr>
              <w:numPr>
                <w:ilvl w:val="0"/>
                <w:numId w:val="0"/>
              </w:numPr>
              <w:spacing w:line="360" w:lineRule="auto"/>
              <w:rPr>
                <w:rFonts w:hint="eastAsia" w:ascii="宋体" w:hAnsi="宋体" w:eastAsia="宋体" w:cs="宋体"/>
                <w:color w:val="auto"/>
              </w:rPr>
            </w:pPr>
            <w:r>
              <w:rPr>
                <w:rFonts w:hint="eastAsia" w:ascii="宋体" w:hAnsi="宋体" w:eastAsia="宋体" w:cs="宋体"/>
                <w:color w:val="auto"/>
                <w:lang w:val="en-US" w:eastAsia="zh-CN"/>
              </w:rPr>
              <w:t>方案</w:t>
            </w:r>
            <w:r>
              <w:rPr>
                <w:rFonts w:hint="eastAsia" w:ascii="宋体" w:hAnsi="宋体" w:eastAsia="宋体" w:cs="宋体"/>
                <w:color w:val="auto"/>
              </w:rPr>
              <w:t>完整、可操作性强，得</w:t>
            </w:r>
            <w:r>
              <w:rPr>
                <w:rFonts w:hint="eastAsia" w:ascii="宋体" w:hAnsi="宋体" w:eastAsia="宋体" w:cs="宋体"/>
                <w:color w:val="auto"/>
                <w:lang w:val="en-US" w:eastAsia="zh-CN"/>
              </w:rPr>
              <w:t>(8-10）</w:t>
            </w:r>
            <w:r>
              <w:rPr>
                <w:rFonts w:hint="eastAsia" w:ascii="宋体" w:hAnsi="宋体" w:eastAsia="宋体" w:cs="宋体"/>
                <w:color w:val="auto"/>
              </w:rPr>
              <w:t>分；方案一般、可操作一般，得</w:t>
            </w:r>
            <w:r>
              <w:rPr>
                <w:rFonts w:hint="eastAsia" w:ascii="宋体" w:hAnsi="宋体" w:eastAsia="宋体" w:cs="宋体"/>
                <w:color w:val="auto"/>
                <w:lang w:val="en-US" w:eastAsia="zh-CN"/>
              </w:rPr>
              <w:t>(4-6</w:t>
            </w:r>
            <w:r>
              <w:rPr>
                <w:rFonts w:hint="eastAsia" w:ascii="宋体" w:hAnsi="宋体" w:eastAsia="宋体" w:cs="宋体"/>
                <w:color w:val="auto"/>
              </w:rPr>
              <w:t>)分；方案不完整、可操作性差</w:t>
            </w:r>
            <w:r>
              <w:rPr>
                <w:rFonts w:hint="eastAsia" w:ascii="宋体" w:hAnsi="宋体" w:eastAsia="宋体" w:cs="宋体"/>
                <w:color w:val="auto"/>
                <w:lang w:eastAsia="zh-CN"/>
              </w:rPr>
              <w:t>，</w:t>
            </w:r>
            <w:r>
              <w:rPr>
                <w:rFonts w:hint="eastAsia" w:ascii="宋体" w:hAnsi="宋体" w:eastAsia="宋体" w:cs="宋体"/>
                <w:color w:val="auto"/>
              </w:rPr>
              <w:t>得</w:t>
            </w:r>
            <w:r>
              <w:rPr>
                <w:rFonts w:hint="eastAsia" w:ascii="宋体" w:hAnsi="宋体" w:eastAsia="宋体" w:cs="宋体"/>
                <w:color w:val="auto"/>
                <w:lang w:val="en-US" w:eastAsia="zh-CN"/>
              </w:rPr>
              <w:t>(2</w:t>
            </w:r>
            <w:r>
              <w:rPr>
                <w:rFonts w:hint="eastAsia" w:ascii="宋体" w:hAnsi="宋体" w:eastAsia="宋体" w:cs="宋体"/>
                <w:color w:val="auto"/>
              </w:rPr>
              <w:t>)分。未提供不得分</w:t>
            </w:r>
            <w:r>
              <w:rPr>
                <w:rFonts w:hint="eastAsia" w:ascii="宋体" w:hAnsi="宋体" w:eastAsia="宋体" w:cs="宋体"/>
                <w:color w:val="auto"/>
                <w:lang w:eastAsia="zh-CN"/>
              </w:rPr>
              <w:t>。</w:t>
            </w:r>
          </w:p>
        </w:tc>
      </w:tr>
      <w:tr w14:paraId="6F77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7BC8A154">
            <w:pP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1077" w:type="dxa"/>
            <w:noWrap w:val="0"/>
            <w:vAlign w:val="top"/>
          </w:tcPr>
          <w:p w14:paraId="0A2B7452">
            <w:pPr>
              <w:rPr>
                <w:rFonts w:hint="eastAsia" w:ascii="宋体" w:hAnsi="宋体" w:eastAsia="宋体" w:cs="宋体"/>
                <w:color w:val="auto"/>
              </w:rPr>
            </w:pPr>
            <w:r>
              <w:rPr>
                <w:rFonts w:hint="eastAsia" w:ascii="宋体" w:hAnsi="宋体" w:eastAsia="宋体" w:cs="宋体"/>
                <w:color w:val="auto"/>
              </w:rPr>
              <w:t>急救培训</w:t>
            </w:r>
          </w:p>
        </w:tc>
        <w:tc>
          <w:tcPr>
            <w:tcW w:w="687" w:type="dxa"/>
            <w:noWrap w:val="0"/>
            <w:vAlign w:val="top"/>
          </w:tcPr>
          <w:p w14:paraId="6CE3FF8C">
            <w:pP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p>
        </w:tc>
        <w:tc>
          <w:tcPr>
            <w:tcW w:w="705" w:type="dxa"/>
            <w:noWrap w:val="0"/>
            <w:vAlign w:val="top"/>
          </w:tcPr>
          <w:p w14:paraId="40B57889">
            <w:pP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分</w:t>
            </w:r>
          </w:p>
        </w:tc>
        <w:tc>
          <w:tcPr>
            <w:tcW w:w="5414" w:type="dxa"/>
            <w:noWrap w:val="0"/>
            <w:vAlign w:val="top"/>
          </w:tcPr>
          <w:p w14:paraId="5DD7D8D8">
            <w:pPr>
              <w:numPr>
                <w:ilvl w:val="0"/>
                <w:numId w:val="0"/>
              </w:num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为确保交付后人员使用AED的熟练性，需提供完善的急救培训方案</w:t>
            </w:r>
          </w:p>
          <w:p w14:paraId="547972FB">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方案包含但不限于以下内容：</w:t>
            </w:r>
          </w:p>
          <w:p w14:paraId="738171FF">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①培训导师团队资质证明</w:t>
            </w:r>
          </w:p>
          <w:p w14:paraId="7121F9C2">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②培训课程计划</w:t>
            </w:r>
          </w:p>
          <w:p w14:paraId="5848F9CF">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③培训内容介绍及意义</w:t>
            </w:r>
          </w:p>
          <w:p w14:paraId="274F081D">
            <w:pPr>
              <w:numPr>
                <w:ilvl w:val="0"/>
                <w:numId w:val="0"/>
              </w:numPr>
              <w:spacing w:line="360" w:lineRule="auto"/>
              <w:rPr>
                <w:rFonts w:hint="eastAsia" w:ascii="宋体" w:hAnsi="宋体" w:eastAsia="宋体" w:cs="宋体"/>
                <w:color w:val="auto"/>
                <w:lang w:eastAsia="zh-CN"/>
              </w:rPr>
            </w:pPr>
            <w:r>
              <w:rPr>
                <w:rFonts w:hint="eastAsia" w:ascii="宋体" w:hAnsi="宋体" w:eastAsia="宋体" w:cs="宋体"/>
                <w:color w:val="auto"/>
              </w:rPr>
              <w:t>根据方案的完整性、可操作性进行评估</w:t>
            </w:r>
            <w:r>
              <w:rPr>
                <w:rFonts w:hint="eastAsia" w:ascii="宋体" w:hAnsi="宋体" w:eastAsia="宋体" w:cs="宋体"/>
                <w:color w:val="auto"/>
                <w:lang w:eastAsia="zh-CN"/>
              </w:rPr>
              <w:t>；</w:t>
            </w:r>
          </w:p>
          <w:p w14:paraId="736369A4">
            <w:pPr>
              <w:numPr>
                <w:ilvl w:val="0"/>
                <w:numId w:val="0"/>
              </w:numPr>
              <w:spacing w:line="360" w:lineRule="auto"/>
              <w:rPr>
                <w:rFonts w:hint="eastAsia" w:ascii="宋体" w:hAnsi="宋体" w:eastAsia="宋体" w:cs="宋体"/>
                <w:color w:val="auto"/>
                <w:lang w:eastAsia="zh-CN"/>
              </w:rPr>
            </w:pPr>
            <w:r>
              <w:rPr>
                <w:rFonts w:hint="eastAsia" w:ascii="宋体" w:hAnsi="宋体" w:eastAsia="宋体" w:cs="宋体"/>
                <w:color w:val="auto"/>
              </w:rPr>
              <w:t>方案完整、可操作性强，得</w:t>
            </w:r>
            <w:r>
              <w:rPr>
                <w:rFonts w:hint="eastAsia" w:ascii="宋体" w:hAnsi="宋体" w:eastAsia="宋体" w:cs="宋体"/>
                <w:color w:val="auto"/>
                <w:lang w:val="en-US" w:eastAsia="zh-CN"/>
              </w:rPr>
              <w:t>(8-10）</w:t>
            </w:r>
            <w:r>
              <w:rPr>
                <w:rFonts w:hint="eastAsia" w:ascii="宋体" w:hAnsi="宋体" w:eastAsia="宋体" w:cs="宋体"/>
                <w:color w:val="auto"/>
              </w:rPr>
              <w:t>分；方案一般、可操作一般，得</w:t>
            </w:r>
            <w:r>
              <w:rPr>
                <w:rFonts w:hint="eastAsia" w:ascii="宋体" w:hAnsi="宋体" w:eastAsia="宋体" w:cs="宋体"/>
                <w:color w:val="auto"/>
                <w:lang w:val="en-US" w:eastAsia="zh-CN"/>
              </w:rPr>
              <w:t>(4-6</w:t>
            </w:r>
            <w:r>
              <w:rPr>
                <w:rFonts w:hint="eastAsia" w:ascii="宋体" w:hAnsi="宋体" w:eastAsia="宋体" w:cs="宋体"/>
                <w:color w:val="auto"/>
              </w:rPr>
              <w:t>)分；方案不完整、可操作性差</w:t>
            </w:r>
            <w:r>
              <w:rPr>
                <w:rFonts w:hint="eastAsia" w:ascii="宋体" w:hAnsi="宋体" w:eastAsia="宋体" w:cs="宋体"/>
                <w:color w:val="auto"/>
                <w:lang w:eastAsia="zh-CN"/>
              </w:rPr>
              <w:t>，</w:t>
            </w:r>
            <w:r>
              <w:rPr>
                <w:rFonts w:hint="eastAsia" w:ascii="宋体" w:hAnsi="宋体" w:eastAsia="宋体" w:cs="宋体"/>
                <w:color w:val="auto"/>
              </w:rPr>
              <w:t>得</w:t>
            </w:r>
            <w:r>
              <w:rPr>
                <w:rFonts w:hint="eastAsia" w:ascii="宋体" w:hAnsi="宋体" w:eastAsia="宋体" w:cs="宋体"/>
                <w:color w:val="auto"/>
                <w:lang w:val="en-US" w:eastAsia="zh-CN"/>
              </w:rPr>
              <w:t>(2</w:t>
            </w:r>
            <w:r>
              <w:rPr>
                <w:rFonts w:hint="eastAsia" w:ascii="宋体" w:hAnsi="宋体" w:eastAsia="宋体" w:cs="宋体"/>
                <w:color w:val="auto"/>
              </w:rPr>
              <w:t>)分。未提供不得分</w:t>
            </w:r>
            <w:r>
              <w:rPr>
                <w:rFonts w:hint="eastAsia" w:ascii="宋体" w:hAnsi="宋体" w:eastAsia="宋体" w:cs="宋体"/>
                <w:color w:val="auto"/>
                <w:lang w:eastAsia="zh-CN"/>
              </w:rPr>
              <w:t>。</w:t>
            </w:r>
          </w:p>
        </w:tc>
      </w:tr>
      <w:tr w14:paraId="112C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38" w:type="dxa"/>
            <w:noWrap w:val="0"/>
            <w:vAlign w:val="top"/>
          </w:tcPr>
          <w:p w14:paraId="17361948">
            <w:pP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1077" w:type="dxa"/>
            <w:noWrap w:val="0"/>
            <w:vAlign w:val="top"/>
          </w:tcPr>
          <w:p w14:paraId="248C237B">
            <w:pPr>
              <w:rPr>
                <w:rFonts w:hint="default" w:ascii="宋体" w:hAnsi="宋体" w:eastAsia="宋体" w:cs="宋体"/>
                <w:color w:val="auto"/>
                <w:lang w:val="en-US" w:eastAsia="zh-CN"/>
              </w:rPr>
            </w:pPr>
            <w:r>
              <w:rPr>
                <w:rFonts w:hint="eastAsia" w:ascii="宋体" w:hAnsi="宋体" w:eastAsia="宋体" w:cs="宋体"/>
                <w:color w:val="auto"/>
                <w:lang w:val="en-US" w:eastAsia="zh-CN"/>
              </w:rPr>
              <w:t>安调维护</w:t>
            </w:r>
          </w:p>
        </w:tc>
        <w:tc>
          <w:tcPr>
            <w:tcW w:w="687" w:type="dxa"/>
            <w:noWrap w:val="0"/>
            <w:vAlign w:val="top"/>
          </w:tcPr>
          <w:p w14:paraId="05468A89">
            <w:pP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p>
        </w:tc>
        <w:tc>
          <w:tcPr>
            <w:tcW w:w="705" w:type="dxa"/>
            <w:noWrap w:val="0"/>
            <w:vAlign w:val="top"/>
          </w:tcPr>
          <w:p w14:paraId="13CDA7A8">
            <w:pPr>
              <w:rPr>
                <w:rFonts w:hint="eastAsia"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分</w:t>
            </w:r>
          </w:p>
        </w:tc>
        <w:tc>
          <w:tcPr>
            <w:tcW w:w="5414" w:type="dxa"/>
            <w:noWrap w:val="0"/>
            <w:vAlign w:val="top"/>
          </w:tcPr>
          <w:p w14:paraId="03DD3D5C">
            <w:pPr>
              <w:numPr>
                <w:ilvl w:val="0"/>
                <w:numId w:val="0"/>
              </w:num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为确保交付后AED正常使用，需提供完善的售后服务方案</w:t>
            </w:r>
          </w:p>
          <w:p w14:paraId="57CD30D8">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方案包含但不限于以下内容：</w:t>
            </w:r>
          </w:p>
          <w:p w14:paraId="5FE1E484">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①安装调试方案</w:t>
            </w:r>
          </w:p>
          <w:p w14:paraId="587B97A2">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②质量维护方案</w:t>
            </w:r>
          </w:p>
          <w:p w14:paraId="5B57EB4D">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③服务响应及时性方案</w:t>
            </w:r>
          </w:p>
          <w:p w14:paraId="0329BF21">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④保养维护方案</w:t>
            </w:r>
          </w:p>
          <w:p w14:paraId="39300963">
            <w:pPr>
              <w:spacing w:line="360" w:lineRule="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根据方案的完整性、可操作性进行评估；</w:t>
            </w:r>
          </w:p>
          <w:p w14:paraId="520B6FD6">
            <w:pPr>
              <w:spacing w:line="360" w:lineRule="auto"/>
              <w:rPr>
                <w:rFonts w:hint="eastAsia" w:ascii="宋体" w:hAnsi="宋体" w:eastAsia="宋体" w:cs="宋体"/>
                <w:color w:val="auto"/>
                <w:lang w:val="en-US" w:eastAsia="zh-CN"/>
              </w:rPr>
            </w:pPr>
            <w:r>
              <w:rPr>
                <w:rFonts w:hint="eastAsia" w:ascii="宋体" w:hAnsi="宋体" w:eastAsia="宋体" w:cs="宋体"/>
                <w:color w:val="auto"/>
              </w:rPr>
              <w:t>售后服务方案优、售</w:t>
            </w:r>
            <w:r>
              <w:rPr>
                <w:rFonts w:hint="eastAsia" w:ascii="宋体" w:hAnsi="宋体" w:eastAsia="宋体" w:cs="宋体"/>
                <w:color w:val="auto"/>
                <w:kern w:val="2"/>
                <w:sz w:val="21"/>
                <w:szCs w:val="24"/>
                <w:lang w:val="en-US" w:eastAsia="zh-CN" w:bidi="ar-SA"/>
              </w:rPr>
              <w:t>后内容明确的得(8-10)分；售后服务方案较好、售后内容清晰的得(4-6)分；售后服务方案一般或差，售后服务内容不明确的得(2)分。未</w:t>
            </w:r>
            <w:r>
              <w:rPr>
                <w:rFonts w:hint="eastAsia" w:ascii="宋体" w:hAnsi="宋体" w:eastAsia="宋体" w:cs="宋体"/>
                <w:color w:val="auto"/>
              </w:rPr>
              <w:t>提供不得分</w:t>
            </w:r>
            <w:r>
              <w:rPr>
                <w:rFonts w:hint="eastAsia" w:ascii="宋体" w:hAnsi="宋体" w:eastAsia="宋体" w:cs="宋体"/>
                <w:color w:val="auto"/>
                <w:lang w:eastAsia="zh-CN"/>
              </w:rPr>
              <w:t>。</w:t>
            </w:r>
          </w:p>
        </w:tc>
      </w:tr>
      <w:tr w14:paraId="3752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38" w:type="dxa"/>
            <w:noWrap w:val="0"/>
            <w:vAlign w:val="top"/>
          </w:tcPr>
          <w:p w14:paraId="3939B61E">
            <w:pPr>
              <w:rPr>
                <w:rFonts w:hint="default" w:ascii="宋体" w:hAnsi="宋体" w:eastAsia="宋体" w:cs="宋体"/>
                <w:color w:val="auto"/>
                <w:lang w:val="en-US" w:eastAsia="zh-CN"/>
              </w:rPr>
            </w:pPr>
            <w:r>
              <w:rPr>
                <w:rFonts w:hint="eastAsia" w:ascii="宋体" w:hAnsi="宋体" w:eastAsia="宋体" w:cs="宋体"/>
                <w:color w:val="auto"/>
                <w:lang w:val="en-US" w:eastAsia="zh-CN"/>
              </w:rPr>
              <w:t>5</w:t>
            </w:r>
          </w:p>
        </w:tc>
        <w:tc>
          <w:tcPr>
            <w:tcW w:w="1077" w:type="dxa"/>
            <w:noWrap w:val="0"/>
            <w:vAlign w:val="top"/>
          </w:tcPr>
          <w:p w14:paraId="3C78AAC7">
            <w:pPr>
              <w:bidi w:val="0"/>
              <w:jc w:val="both"/>
              <w:rPr>
                <w:rFonts w:hint="default"/>
                <w:color w:val="auto"/>
                <w:lang w:val="en-US" w:eastAsia="zh-CN"/>
              </w:rPr>
            </w:pPr>
            <w:r>
              <w:rPr>
                <w:rFonts w:hint="eastAsia"/>
                <w:color w:val="auto"/>
                <w:lang w:val="en-US" w:eastAsia="zh-CN"/>
              </w:rPr>
              <w:t>技术方案</w:t>
            </w:r>
          </w:p>
        </w:tc>
        <w:tc>
          <w:tcPr>
            <w:tcW w:w="687" w:type="dxa"/>
            <w:noWrap w:val="0"/>
            <w:vAlign w:val="top"/>
          </w:tcPr>
          <w:p w14:paraId="3CF77B4D">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705" w:type="dxa"/>
            <w:noWrap w:val="0"/>
            <w:vAlign w:val="top"/>
          </w:tcPr>
          <w:p w14:paraId="6E176893">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10分</w:t>
            </w:r>
          </w:p>
        </w:tc>
        <w:tc>
          <w:tcPr>
            <w:tcW w:w="5414" w:type="dxa"/>
            <w:noWrap w:val="0"/>
            <w:vAlign w:val="top"/>
          </w:tcPr>
          <w:p w14:paraId="72E86E94">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为确保设备技术先进性，需提供完善的技术方案</w:t>
            </w:r>
          </w:p>
          <w:p w14:paraId="2C5A5B8D">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方案包含但不限于以下内容：</w:t>
            </w:r>
          </w:p>
          <w:p w14:paraId="6241FD36">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①产品设计方案</w:t>
            </w:r>
          </w:p>
          <w:p w14:paraId="7FCC2F42">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②产品适用性说明</w:t>
            </w:r>
          </w:p>
          <w:p w14:paraId="7946BB82">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③关键材料附件选配方案</w:t>
            </w:r>
          </w:p>
          <w:p w14:paraId="62299040">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④生产工艺</w:t>
            </w:r>
          </w:p>
          <w:p w14:paraId="6E0CE536">
            <w:pPr>
              <w:spacing w:line="360" w:lineRule="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根据方案的完整性、可操作性进行评估；</w:t>
            </w:r>
          </w:p>
          <w:p w14:paraId="401138BA">
            <w:pPr>
              <w:spacing w:line="360" w:lineRule="auto"/>
              <w:rPr>
                <w:rFonts w:hint="default" w:eastAsia="宋体"/>
                <w:color w:val="auto"/>
                <w:lang w:val="en-US" w:eastAsia="zh-CN"/>
              </w:rPr>
            </w:pPr>
            <w:r>
              <w:rPr>
                <w:rFonts w:hint="eastAsia" w:ascii="宋体" w:hAnsi="宋体" w:eastAsia="宋体" w:cs="宋体"/>
                <w:color w:val="auto"/>
                <w:kern w:val="2"/>
                <w:sz w:val="21"/>
                <w:szCs w:val="24"/>
                <w:lang w:val="en-US" w:eastAsia="zh-CN" w:bidi="ar-SA"/>
              </w:rPr>
              <w:t>方案优、内容明确的得(8-10)分；方案较好、内容清晰的得(4-6)分；方案一般或差，内容不明确的得(2）分。未提供不得分。</w:t>
            </w:r>
          </w:p>
        </w:tc>
      </w:tr>
      <w:tr w14:paraId="3659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38" w:type="dxa"/>
            <w:noWrap w:val="0"/>
            <w:vAlign w:val="top"/>
          </w:tcPr>
          <w:p w14:paraId="57B6B22E">
            <w:pPr>
              <w:rPr>
                <w:rFonts w:hint="default" w:ascii="宋体" w:hAnsi="宋体" w:eastAsia="宋体" w:cs="宋体"/>
                <w:color w:val="auto"/>
                <w:lang w:val="en-US" w:eastAsia="zh-CN"/>
              </w:rPr>
            </w:pPr>
            <w:r>
              <w:rPr>
                <w:rFonts w:hint="eastAsia" w:ascii="宋体" w:hAnsi="宋体" w:eastAsia="宋体" w:cs="宋体"/>
                <w:color w:val="auto"/>
                <w:lang w:val="en-US" w:eastAsia="zh-CN"/>
              </w:rPr>
              <w:t>6</w:t>
            </w:r>
          </w:p>
        </w:tc>
        <w:tc>
          <w:tcPr>
            <w:tcW w:w="1077" w:type="dxa"/>
            <w:noWrap w:val="0"/>
            <w:vAlign w:val="top"/>
          </w:tcPr>
          <w:p w14:paraId="799096D2">
            <w:pPr>
              <w:bidi w:val="0"/>
              <w:jc w:val="both"/>
              <w:rPr>
                <w:rFonts w:hint="default"/>
                <w:color w:val="auto"/>
                <w:lang w:val="en-US" w:eastAsia="zh-CN"/>
              </w:rPr>
            </w:pPr>
            <w:r>
              <w:rPr>
                <w:rFonts w:hint="eastAsia"/>
                <w:color w:val="auto"/>
                <w:lang w:val="en-US" w:eastAsia="zh-CN"/>
              </w:rPr>
              <w:t>应急方案</w:t>
            </w:r>
          </w:p>
        </w:tc>
        <w:tc>
          <w:tcPr>
            <w:tcW w:w="687" w:type="dxa"/>
            <w:noWrap w:val="0"/>
            <w:vAlign w:val="top"/>
          </w:tcPr>
          <w:p w14:paraId="345CCB25">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5</w:t>
            </w:r>
            <w:r>
              <w:rPr>
                <w:rFonts w:hint="eastAsia" w:ascii="宋体" w:hAnsi="宋体" w:eastAsia="宋体" w:cs="宋体"/>
                <w:color w:val="auto"/>
              </w:rPr>
              <w:t>%</w:t>
            </w:r>
          </w:p>
        </w:tc>
        <w:tc>
          <w:tcPr>
            <w:tcW w:w="705" w:type="dxa"/>
            <w:noWrap w:val="0"/>
            <w:vAlign w:val="top"/>
          </w:tcPr>
          <w:p w14:paraId="0820505F">
            <w:pP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5分</w:t>
            </w:r>
          </w:p>
        </w:tc>
        <w:tc>
          <w:tcPr>
            <w:tcW w:w="5414" w:type="dxa"/>
            <w:noWrap w:val="0"/>
            <w:vAlign w:val="top"/>
          </w:tcPr>
          <w:p w14:paraId="549E781B">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根据投标人提供的应急处置方案</w:t>
            </w:r>
          </w:p>
          <w:p w14:paraId="1B50F163">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①应急情况反馈机制</w:t>
            </w:r>
          </w:p>
          <w:p w14:paraId="3A0B0219">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②应急情况处置措施</w:t>
            </w:r>
          </w:p>
          <w:p w14:paraId="7F7C3CE1">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③应急保障预防措施</w:t>
            </w:r>
          </w:p>
          <w:p w14:paraId="3C947225">
            <w:pPr>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④设备维护的经验</w:t>
            </w:r>
          </w:p>
          <w:p w14:paraId="39FE40D8">
            <w:pPr>
              <w:pStyle w:val="8"/>
              <w:spacing w:line="360" w:lineRule="auto"/>
              <w:ind w:left="0" w:leftChars="0" w:firstLine="0" w:firstLineChars="0"/>
              <w:rPr>
                <w:rFonts w:hint="default"/>
                <w:color w:val="auto"/>
                <w:lang w:val="en-US" w:eastAsia="zh-CN"/>
              </w:rPr>
            </w:pPr>
            <w:r>
              <w:rPr>
                <w:rFonts w:hint="eastAsia" w:ascii="宋体" w:hAnsi="宋体" w:eastAsia="宋体" w:cs="宋体"/>
                <w:color w:val="auto"/>
                <w:kern w:val="2"/>
                <w:sz w:val="21"/>
                <w:szCs w:val="24"/>
                <w:lang w:val="en-US" w:eastAsia="zh-CN" w:bidi="ar-SA"/>
              </w:rPr>
              <w:t>根据方</w:t>
            </w:r>
            <w:bookmarkStart w:id="8" w:name="_GoBack"/>
            <w:bookmarkEnd w:id="8"/>
            <w:r>
              <w:rPr>
                <w:rFonts w:hint="eastAsia" w:ascii="宋体" w:hAnsi="宋体" w:eastAsia="宋体" w:cs="宋体"/>
                <w:color w:val="auto"/>
                <w:kern w:val="2"/>
                <w:sz w:val="21"/>
                <w:szCs w:val="24"/>
                <w:lang w:val="en-US" w:eastAsia="zh-CN" w:bidi="ar-SA"/>
              </w:rPr>
              <w:t>案的完整性、可操作性进行评估；</w:t>
            </w:r>
          </w:p>
          <w:p w14:paraId="1BB096A2">
            <w:pPr>
              <w:pStyle w:val="8"/>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方案优、内容明确的得(4-5)分；方案较好、内容清晰的得(2-3)分；方案一般或差，内容不明确的得(1）分。未提供不得分。</w:t>
            </w:r>
          </w:p>
        </w:tc>
      </w:tr>
      <w:tr w14:paraId="6C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38" w:type="dxa"/>
            <w:noWrap w:val="0"/>
            <w:vAlign w:val="top"/>
          </w:tcPr>
          <w:p w14:paraId="06AF70C6">
            <w:pPr>
              <w:rPr>
                <w:rFonts w:hint="default" w:ascii="宋体" w:hAnsi="宋体" w:eastAsia="宋体" w:cs="宋体"/>
                <w:color w:val="auto"/>
                <w:lang w:val="en-US" w:eastAsia="zh-CN"/>
              </w:rPr>
            </w:pPr>
            <w:r>
              <w:rPr>
                <w:rFonts w:hint="eastAsia" w:ascii="宋体" w:hAnsi="宋体" w:cs="宋体"/>
                <w:color w:val="auto"/>
                <w:lang w:val="en-US" w:eastAsia="zh-CN"/>
              </w:rPr>
              <w:t>7</w:t>
            </w:r>
          </w:p>
        </w:tc>
        <w:tc>
          <w:tcPr>
            <w:tcW w:w="1077" w:type="dxa"/>
            <w:noWrap w:val="0"/>
            <w:vAlign w:val="top"/>
          </w:tcPr>
          <w:p w14:paraId="5C5560D0">
            <w:pPr>
              <w:rPr>
                <w:rFonts w:hint="default" w:ascii="宋体" w:hAnsi="宋体" w:eastAsia="宋体" w:cs="宋体"/>
                <w:color w:val="auto"/>
                <w:lang w:val="en-US" w:eastAsia="zh-CN"/>
              </w:rPr>
            </w:pPr>
            <w:r>
              <w:rPr>
                <w:rFonts w:hint="eastAsia" w:ascii="宋体" w:hAnsi="宋体" w:eastAsia="宋体" w:cs="宋体"/>
                <w:color w:val="auto"/>
                <w:lang w:val="en-US" w:eastAsia="zh-CN"/>
              </w:rPr>
              <w:t>样机评审</w:t>
            </w:r>
          </w:p>
        </w:tc>
        <w:tc>
          <w:tcPr>
            <w:tcW w:w="687" w:type="dxa"/>
            <w:noWrap w:val="0"/>
            <w:vAlign w:val="top"/>
          </w:tcPr>
          <w:p w14:paraId="6C95472B">
            <w:pPr>
              <w:rPr>
                <w:rFonts w:hint="eastAsia" w:ascii="宋体" w:hAnsi="宋体" w:eastAsia="宋体" w:cs="宋体"/>
                <w:color w:val="auto"/>
                <w:lang w:val="en-US" w:eastAsia="zh-CN"/>
              </w:rPr>
            </w:pPr>
            <w:r>
              <w:rPr>
                <w:rFonts w:hint="eastAsia" w:ascii="宋体" w:hAnsi="宋体" w:eastAsia="宋体" w:cs="宋体"/>
                <w:color w:val="auto"/>
                <w:lang w:val="en-US" w:eastAsia="zh-CN"/>
              </w:rPr>
              <w:t>5</w:t>
            </w:r>
            <w:r>
              <w:rPr>
                <w:rFonts w:hint="eastAsia" w:ascii="宋体" w:hAnsi="宋体" w:eastAsia="宋体" w:cs="宋体"/>
                <w:color w:val="auto"/>
              </w:rPr>
              <w:t>%</w:t>
            </w:r>
          </w:p>
        </w:tc>
        <w:tc>
          <w:tcPr>
            <w:tcW w:w="705" w:type="dxa"/>
            <w:noWrap w:val="0"/>
            <w:vAlign w:val="top"/>
          </w:tcPr>
          <w:p w14:paraId="131833A5">
            <w:pPr>
              <w:rPr>
                <w:rFonts w:hint="default" w:ascii="宋体" w:hAnsi="宋体" w:eastAsia="宋体" w:cs="宋体"/>
                <w:color w:val="auto"/>
                <w:lang w:val="en-US" w:eastAsia="zh-CN"/>
              </w:rPr>
            </w:pPr>
            <w:r>
              <w:rPr>
                <w:rFonts w:hint="eastAsia" w:ascii="宋体" w:hAnsi="宋体" w:eastAsia="宋体" w:cs="宋体"/>
                <w:color w:val="auto"/>
                <w:lang w:val="en-US" w:eastAsia="zh-CN"/>
              </w:rPr>
              <w:t>5分</w:t>
            </w:r>
          </w:p>
        </w:tc>
        <w:tc>
          <w:tcPr>
            <w:tcW w:w="5414" w:type="dxa"/>
            <w:noWrap w:val="0"/>
            <w:vAlign w:val="top"/>
          </w:tcPr>
          <w:p w14:paraId="20790D9A">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确保实机在正常情况下的实用性、操作简易难度等，故需提供详细的样机评审方案（样机1台）。</w:t>
            </w:r>
          </w:p>
          <w:p w14:paraId="1F53A8C7">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评审内容包括但不限于以下内容：</w:t>
            </w:r>
          </w:p>
          <w:p w14:paraId="2C4D69CC">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①设备的功能性</w:t>
            </w:r>
          </w:p>
          <w:p w14:paraId="771F47DC">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②设备操作性</w:t>
            </w:r>
          </w:p>
          <w:p w14:paraId="6B35A7D9">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③设备稳定性</w:t>
            </w:r>
          </w:p>
          <w:p w14:paraId="30FA12F6">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④设备的便携性</w:t>
            </w:r>
          </w:p>
          <w:p w14:paraId="75407676">
            <w:pPr>
              <w:spacing w:line="360" w:lineRule="auto"/>
              <w:rPr>
                <w:rFonts w:hint="default"/>
                <w:color w:val="auto"/>
                <w:lang w:val="en-US" w:eastAsia="zh-CN"/>
              </w:rPr>
            </w:pPr>
            <w:r>
              <w:rPr>
                <w:rFonts w:hint="eastAsia" w:ascii="宋体" w:hAnsi="宋体" w:eastAsia="宋体" w:cs="宋体"/>
                <w:color w:val="auto"/>
                <w:kern w:val="2"/>
                <w:sz w:val="21"/>
                <w:szCs w:val="24"/>
                <w:lang w:val="en-US" w:eastAsia="zh-CN" w:bidi="ar-SA"/>
              </w:rPr>
              <w:t>⑤设备兼容性</w:t>
            </w:r>
          </w:p>
          <w:p w14:paraId="54461DED">
            <w:pPr>
              <w:spacing w:line="360" w:lineRule="auto"/>
              <w:rPr>
                <w:rFonts w:hint="default"/>
                <w:color w:val="auto"/>
                <w:lang w:val="en-US" w:eastAsia="zh-CN"/>
              </w:rPr>
            </w:pPr>
            <w:r>
              <w:rPr>
                <w:rFonts w:hint="eastAsia" w:ascii="宋体" w:hAnsi="宋体" w:eastAsia="宋体" w:cs="宋体"/>
                <w:color w:val="auto"/>
                <w:kern w:val="2"/>
                <w:sz w:val="21"/>
                <w:szCs w:val="24"/>
                <w:lang w:val="en-US" w:eastAsia="zh-CN" w:bidi="ar-SA"/>
              </w:rPr>
              <w:t>专家进行综合评价，每有一项方案描述的得1分，最高得5分。每项评审存在缺陷的扣1分，未提供样机不得分。</w:t>
            </w:r>
          </w:p>
        </w:tc>
      </w:tr>
      <w:tr w14:paraId="3138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521" w:type="dxa"/>
            <w:gridSpan w:val="5"/>
            <w:noWrap w:val="0"/>
            <w:vAlign w:val="top"/>
          </w:tcPr>
          <w:p w14:paraId="0EFDD7E5">
            <w:pPr>
              <w:jc w:val="center"/>
              <w:rPr>
                <w:rFonts w:hint="eastAsia" w:ascii="宋体" w:hAnsi="宋体" w:eastAsia="宋体" w:cs="宋体"/>
                <w:b/>
                <w:bCs/>
                <w:color w:val="auto"/>
              </w:rPr>
            </w:pPr>
            <w:r>
              <w:rPr>
                <w:rFonts w:hint="eastAsia" w:ascii="宋体" w:hAnsi="宋体" w:eastAsia="宋体" w:cs="宋体"/>
                <w:b/>
                <w:bCs/>
                <w:color w:val="auto"/>
              </w:rPr>
              <w:t>价格评审细则（</w:t>
            </w:r>
            <w:r>
              <w:rPr>
                <w:rFonts w:hint="eastAsia" w:ascii="宋体" w:hAnsi="宋体" w:eastAsia="宋体" w:cs="宋体"/>
                <w:b/>
                <w:bCs/>
                <w:color w:val="auto"/>
                <w:lang w:val="en-US" w:eastAsia="zh-CN"/>
              </w:rPr>
              <w:t>2</w:t>
            </w:r>
            <w:r>
              <w:rPr>
                <w:rFonts w:hint="eastAsia" w:ascii="宋体" w:hAnsi="宋体" w:eastAsia="宋体" w:cs="宋体"/>
                <w:b/>
                <w:bCs/>
                <w:color w:val="auto"/>
              </w:rPr>
              <w:t>0分）</w:t>
            </w:r>
          </w:p>
        </w:tc>
      </w:tr>
      <w:tr w14:paraId="6E4F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3C4AE313">
            <w:pP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077" w:type="dxa"/>
            <w:noWrap w:val="0"/>
            <w:vAlign w:val="top"/>
          </w:tcPr>
          <w:p w14:paraId="0ADB082C">
            <w:pPr>
              <w:rPr>
                <w:rFonts w:hint="eastAsia" w:ascii="宋体" w:hAnsi="宋体" w:eastAsia="宋体" w:cs="宋体"/>
                <w:color w:val="auto"/>
              </w:rPr>
            </w:pPr>
            <w:r>
              <w:rPr>
                <w:rFonts w:hint="eastAsia" w:ascii="宋体" w:hAnsi="宋体" w:eastAsia="宋体" w:cs="宋体"/>
                <w:color w:val="auto"/>
              </w:rPr>
              <w:t>投标报价</w:t>
            </w:r>
          </w:p>
        </w:tc>
        <w:tc>
          <w:tcPr>
            <w:tcW w:w="687" w:type="dxa"/>
            <w:noWrap w:val="0"/>
            <w:vAlign w:val="top"/>
          </w:tcPr>
          <w:p w14:paraId="6E8E0FB2">
            <w:pPr>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0%</w:t>
            </w:r>
          </w:p>
        </w:tc>
        <w:tc>
          <w:tcPr>
            <w:tcW w:w="705" w:type="dxa"/>
            <w:noWrap w:val="0"/>
            <w:vAlign w:val="top"/>
          </w:tcPr>
          <w:p w14:paraId="7E71B0C4">
            <w:pPr>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0分</w:t>
            </w:r>
          </w:p>
        </w:tc>
        <w:tc>
          <w:tcPr>
            <w:tcW w:w="5414" w:type="dxa"/>
            <w:noWrap w:val="0"/>
            <w:vAlign w:val="top"/>
          </w:tcPr>
          <w:p w14:paraId="5C2F4D4A">
            <w:pPr>
              <w:spacing w:line="360" w:lineRule="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一、评审基准值的计算办法：</w:t>
            </w:r>
          </w:p>
          <w:p w14:paraId="4577E1E5">
            <w:pPr>
              <w:spacing w:line="360" w:lineRule="auto"/>
              <w:rPr>
                <w:rFonts w:hint="default" w:ascii="宋体" w:hAnsi="宋体" w:eastAsia="宋体" w:cs="宋体"/>
                <w:color w:val="auto"/>
                <w:lang w:val="en-US"/>
              </w:rPr>
            </w:pPr>
            <w:r>
              <w:rPr>
                <w:rFonts w:hint="eastAsia" w:ascii="宋体" w:hAnsi="宋体" w:eastAsia="宋体" w:cs="宋体"/>
                <w:color w:val="auto"/>
                <w:kern w:val="2"/>
                <w:sz w:val="21"/>
                <w:szCs w:val="24"/>
                <w:lang w:val="en-US" w:eastAsia="zh-CN" w:bidi="ar-SA"/>
              </w:rPr>
              <w:t>投标价格</w:t>
            </w:r>
            <w:r>
              <w:rPr>
                <w:rFonts w:hint="eastAsia" w:ascii="宋体" w:hAnsi="宋体" w:cs="宋体"/>
                <w:color w:val="auto"/>
                <w:kern w:val="2"/>
                <w:sz w:val="21"/>
                <w:szCs w:val="24"/>
                <w:lang w:val="en-US" w:eastAsia="zh-CN" w:bidi="ar-SA"/>
              </w:rPr>
              <w:t>最低价为</w:t>
            </w:r>
            <w:r>
              <w:rPr>
                <w:rFonts w:hint="eastAsia" w:ascii="宋体" w:hAnsi="宋体" w:eastAsia="宋体" w:cs="宋体"/>
                <w:color w:val="auto"/>
                <w:kern w:val="2"/>
                <w:sz w:val="21"/>
                <w:szCs w:val="24"/>
                <w:lang w:val="en-US" w:eastAsia="zh-CN" w:bidi="ar-SA"/>
              </w:rPr>
              <w:t>评标基准价，其价格分为满分（20分）。其他投标人的价格分按照下列公式计算（小数点保留两位）：投标报价得分＝（评标基准价／投标报价）×20</w:t>
            </w:r>
          </w:p>
        </w:tc>
      </w:tr>
      <w:tr w14:paraId="2D49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noWrap w:val="0"/>
            <w:vAlign w:val="top"/>
          </w:tcPr>
          <w:p w14:paraId="08F744B7">
            <w:pPr>
              <w:spacing w:line="360" w:lineRule="auto"/>
              <w:jc w:val="center"/>
              <w:rPr>
                <w:rFonts w:hint="default"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加分项（10分）</w:t>
            </w:r>
          </w:p>
        </w:tc>
      </w:tr>
      <w:tr w14:paraId="4789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noWrap w:val="0"/>
            <w:vAlign w:val="top"/>
          </w:tcPr>
          <w:p w14:paraId="2FEC9BFE">
            <w:pPr>
              <w:rPr>
                <w:rFonts w:hint="default" w:ascii="宋体" w:hAnsi="宋体" w:eastAsia="宋体" w:cs="宋体"/>
                <w:color w:val="auto"/>
                <w:lang w:val="en-US" w:eastAsia="zh-CN"/>
              </w:rPr>
            </w:pPr>
            <w:r>
              <w:rPr>
                <w:rFonts w:hint="eastAsia" w:ascii="宋体" w:hAnsi="宋体" w:cs="宋体"/>
                <w:color w:val="auto"/>
                <w:lang w:val="en-US" w:eastAsia="zh-CN"/>
              </w:rPr>
              <w:t>1</w:t>
            </w:r>
          </w:p>
        </w:tc>
        <w:tc>
          <w:tcPr>
            <w:tcW w:w="1077" w:type="dxa"/>
            <w:noWrap w:val="0"/>
            <w:vAlign w:val="top"/>
          </w:tcPr>
          <w:p w14:paraId="57766288">
            <w:pPr>
              <w:rPr>
                <w:rFonts w:hint="default" w:ascii="宋体" w:hAnsi="宋体" w:eastAsia="宋体" w:cs="宋体"/>
                <w:color w:val="auto"/>
                <w:lang w:val="en-US" w:eastAsia="zh-CN"/>
              </w:rPr>
            </w:pPr>
            <w:r>
              <w:rPr>
                <w:rFonts w:hint="eastAsia" w:ascii="宋体" w:hAnsi="宋体" w:cs="宋体"/>
                <w:color w:val="auto"/>
                <w:lang w:val="en-US" w:eastAsia="zh-CN"/>
              </w:rPr>
              <w:t>品牌加分</w:t>
            </w:r>
          </w:p>
        </w:tc>
        <w:tc>
          <w:tcPr>
            <w:tcW w:w="687" w:type="dxa"/>
            <w:noWrap w:val="0"/>
            <w:vAlign w:val="top"/>
          </w:tcPr>
          <w:p w14:paraId="147121A5">
            <w:pP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705" w:type="dxa"/>
            <w:noWrap w:val="0"/>
            <w:vAlign w:val="top"/>
          </w:tcPr>
          <w:p w14:paraId="58ABBC8C">
            <w:pP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5414" w:type="dxa"/>
            <w:noWrap w:val="0"/>
            <w:vAlign w:val="top"/>
          </w:tcPr>
          <w:p w14:paraId="0600D3E9">
            <w:pPr>
              <w:spacing w:line="360" w:lineRule="auto"/>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1"/>
                <w:lang w:val="en-US" w:eastAsia="zh-CN" w:bidi="ar-SA"/>
              </w:rPr>
              <w:t>国内一线品牌</w:t>
            </w:r>
            <w:r>
              <w:rPr>
                <w:rFonts w:hint="eastAsia" w:ascii="宋体" w:hAnsi="宋体" w:eastAsia="宋体" w:cs="宋体"/>
                <w:b w:val="0"/>
                <w:bCs/>
                <w:sz w:val="21"/>
                <w:szCs w:val="21"/>
              </w:rPr>
              <w:t>（参考2026年Q1中国AED市场本土头部品牌，包括久心医疗、迈瑞医疗、安保医疗、鱼跃等，需提供品牌行业排名证明或相关资质佐证）</w:t>
            </w:r>
            <w:r>
              <w:rPr>
                <w:rFonts w:hint="eastAsia" w:ascii="宋体" w:hAnsi="宋体" w:cs="宋体"/>
                <w:b w:val="0"/>
                <w:bCs/>
                <w:sz w:val="21"/>
                <w:szCs w:val="21"/>
                <w:lang w:eastAsia="zh-CN"/>
              </w:rPr>
              <w:t>，</w:t>
            </w:r>
            <w:r>
              <w:rPr>
                <w:rFonts w:hint="eastAsia" w:ascii="宋体" w:hAnsi="宋体" w:cs="宋体"/>
                <w:b w:val="0"/>
                <w:bCs/>
                <w:sz w:val="21"/>
                <w:szCs w:val="21"/>
                <w:lang w:val="en-US" w:eastAsia="zh-CN"/>
              </w:rPr>
              <w:t>前3名加8-10分，4-5名加6-7分，排序5名后的不加分</w:t>
            </w:r>
          </w:p>
        </w:tc>
      </w:tr>
    </w:tbl>
    <w:p w14:paraId="3A8B3E75">
      <w:pPr>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仿宋" w:hAnsi="仿宋" w:eastAsia="仿宋" w:cs="仿宋"/>
          <w:sz w:val="32"/>
          <w:szCs w:val="32"/>
          <w:lang w:val="en-US" w:eastAsia="zh-CN"/>
        </w:rPr>
      </w:pPr>
    </w:p>
    <w:p w14:paraId="27545698">
      <w:pPr>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sz w:val="32"/>
          <w:szCs w:val="32"/>
        </w:rPr>
      </w:pPr>
      <w:bookmarkStart w:id="1" w:name="heading_29"/>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评标说明</w:t>
      </w:r>
      <w:bookmarkEnd w:id="1"/>
    </w:p>
    <w:p w14:paraId="29268A01">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3.1 评标委员会根据本评分标准，对每个合格投标人的投标文件进行独立打分，汇总后得出投标人的最终得分。</w:t>
      </w:r>
    </w:p>
    <w:p w14:paraId="1464EA7B">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3.2 评分过程中，若存在争议，由评标</w:t>
      </w:r>
      <w:r>
        <w:rPr>
          <w:rFonts w:hint="eastAsia" w:ascii="仿宋" w:hAnsi="仿宋" w:eastAsia="仿宋" w:cs="仿宋"/>
          <w:sz w:val="32"/>
          <w:szCs w:val="32"/>
          <w:lang w:val="en-US" w:eastAsia="zh-CN"/>
        </w:rPr>
        <w:t>小组</w:t>
      </w:r>
      <w:r>
        <w:rPr>
          <w:rFonts w:hint="eastAsia" w:ascii="仿宋" w:hAnsi="仿宋" w:eastAsia="仿宋" w:cs="仿宋"/>
          <w:sz w:val="32"/>
          <w:szCs w:val="32"/>
        </w:rPr>
        <w:t>集体协商决定。</w:t>
      </w:r>
    </w:p>
    <w:p w14:paraId="03D8934B">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3.3 未通过资格审查或符合性审查的投标人，不参与综合评分。</w:t>
      </w:r>
    </w:p>
    <w:p w14:paraId="002966BD">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、授予合同</w:t>
      </w:r>
    </w:p>
    <w:p w14:paraId="31B333B6">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中标人在接到</w:t>
      </w:r>
      <w:r>
        <w:rPr>
          <w:rFonts w:hint="eastAsia" w:ascii="仿宋" w:hAnsi="仿宋" w:eastAsia="仿宋" w:cs="仿宋"/>
          <w:sz w:val="32"/>
          <w:szCs w:val="32"/>
          <w:lang w:val="en-US" w:eastAsia="zh-CN"/>
        </w:rPr>
        <w:t>甲方中标通知</w:t>
      </w:r>
      <w:r>
        <w:rPr>
          <w:rFonts w:hint="eastAsia" w:ascii="仿宋" w:hAnsi="仿宋" w:eastAsia="仿宋" w:cs="仿宋"/>
          <w:sz w:val="32"/>
          <w:szCs w:val="32"/>
        </w:rPr>
        <w:t>后5日内，按甲方约定的时间、地点与甲方签订合同。</w:t>
      </w:r>
    </w:p>
    <w:p w14:paraId="3F4F0279">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招标文件、中标人的投标文件及其澄清文件等，均为签订合同的依据。中标人不得与招标人签订背离上述文件内容的合同。</w:t>
      </w:r>
    </w:p>
    <w:p w14:paraId="63E4D2AB">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招标投标费用</w:t>
      </w:r>
    </w:p>
    <w:p w14:paraId="75355A9B">
      <w:pPr>
        <w:keepNext w:val="0"/>
        <w:keepLines w:val="0"/>
        <w:pageBreakBefore w:val="0"/>
        <w:widowControl w:val="0"/>
        <w:kinsoku/>
        <w:wordWrap/>
        <w:overflowPunct/>
        <w:topLinePunct w:val="0"/>
        <w:autoSpaceDE/>
        <w:autoSpaceDN/>
        <w:bidi w:val="0"/>
        <w:adjustRightInd/>
        <w:snapToGrid/>
        <w:spacing w:line="44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一切与投标有关的费用均由投标人自理。</w:t>
      </w:r>
    </w:p>
    <w:p w14:paraId="4C2BF3D9"/>
    <w:p w14:paraId="30ABBDFA">
      <w:pPr>
        <w:pStyle w:val="8"/>
      </w:pPr>
    </w:p>
    <w:p w14:paraId="6D8880E0"/>
    <w:p w14:paraId="550ABC37">
      <w:pPr>
        <w:pStyle w:val="8"/>
      </w:pPr>
    </w:p>
    <w:p w14:paraId="32E7548A"/>
    <w:p w14:paraId="3F544061">
      <w:pPr>
        <w:pStyle w:val="8"/>
      </w:pPr>
    </w:p>
    <w:p w14:paraId="64640604"/>
    <w:p w14:paraId="2FDA5823">
      <w:pPr>
        <w:pStyle w:val="8"/>
      </w:pPr>
    </w:p>
    <w:p w14:paraId="58CB0946"/>
    <w:p w14:paraId="2C2BB35B">
      <w:pPr>
        <w:pStyle w:val="6"/>
        <w:spacing w:before="0" w:after="0" w:line="500" w:lineRule="exact"/>
        <w:jc w:val="both"/>
        <w:rPr>
          <w:rFonts w:hint="eastAsia" w:ascii="仿宋" w:hAnsi="仿宋" w:eastAsia="仿宋" w:cs="仿宋_GB2312"/>
          <w:b/>
          <w:bCs/>
          <w:sz w:val="32"/>
          <w:szCs w:val="32"/>
        </w:rPr>
      </w:pPr>
    </w:p>
    <w:p w14:paraId="23C4DAE8">
      <w:pPr>
        <w:pStyle w:val="6"/>
        <w:spacing w:before="0" w:after="0" w:line="500" w:lineRule="exact"/>
        <w:jc w:val="both"/>
        <w:rPr>
          <w:rFonts w:hint="eastAsia" w:ascii="仿宋" w:hAnsi="仿宋" w:eastAsia="仿宋" w:cs="仿宋_GB2312"/>
          <w:b/>
          <w:bCs/>
          <w:sz w:val="32"/>
          <w:szCs w:val="32"/>
        </w:rPr>
      </w:pPr>
    </w:p>
    <w:p w14:paraId="66AC2F73">
      <w:pPr>
        <w:pStyle w:val="6"/>
        <w:spacing w:before="0" w:after="0" w:line="500" w:lineRule="exact"/>
        <w:jc w:val="both"/>
        <w:rPr>
          <w:rFonts w:hint="eastAsia" w:ascii="仿宋" w:hAnsi="仿宋" w:eastAsia="仿宋" w:cs="仿宋_GB2312"/>
          <w:b/>
          <w:bCs/>
          <w:sz w:val="32"/>
          <w:szCs w:val="32"/>
        </w:rPr>
      </w:pPr>
      <w:r>
        <w:rPr>
          <w:rFonts w:hint="eastAsia" w:ascii="仿宋" w:hAnsi="仿宋" w:eastAsia="仿宋" w:cs="仿宋_GB2312"/>
          <w:b/>
          <w:bCs/>
          <w:sz w:val="32"/>
          <w:szCs w:val="32"/>
        </w:rPr>
        <w:t>附件</w:t>
      </w:r>
      <w:r>
        <w:rPr>
          <w:rFonts w:hint="eastAsia" w:ascii="仿宋" w:hAnsi="仿宋" w:eastAsia="仿宋" w:cs="仿宋_GB2312"/>
          <w:b/>
          <w:bCs/>
          <w:sz w:val="32"/>
          <w:szCs w:val="32"/>
          <w:lang w:val="en-US" w:eastAsia="zh-CN"/>
        </w:rPr>
        <w:t>1：</w:t>
      </w:r>
      <w:r>
        <w:rPr>
          <w:rFonts w:hint="eastAsia" w:ascii="仿宋" w:hAnsi="仿宋" w:eastAsia="仿宋" w:cs="仿宋_GB2312"/>
          <w:b/>
          <w:bCs/>
          <w:sz w:val="32"/>
          <w:szCs w:val="32"/>
        </w:rPr>
        <w:t>投标人法定代表人授权书(格式)</w:t>
      </w:r>
    </w:p>
    <w:p w14:paraId="4E5E0420">
      <w:pPr>
        <w:rPr>
          <w:rFonts w:hint="eastAsia" w:ascii="仿宋" w:hAnsi="仿宋" w:eastAsia="仿宋" w:cs="仿宋_GB2312"/>
          <w:b/>
          <w:bCs/>
          <w:sz w:val="32"/>
          <w:szCs w:val="32"/>
        </w:rPr>
      </w:pPr>
    </w:p>
    <w:p w14:paraId="3D231149">
      <w:pPr>
        <w:pStyle w:val="7"/>
        <w:ind w:firstLine="0" w:firstLineChars="0"/>
        <w:rPr>
          <w:rFonts w:hint="eastAsia" w:ascii="仿宋" w:hAnsi="仿宋" w:eastAsia="仿宋" w:cs="仿宋_GB2312"/>
          <w:b/>
          <w:bCs/>
          <w:sz w:val="32"/>
          <w:szCs w:val="32"/>
        </w:rPr>
      </w:pPr>
    </w:p>
    <w:p w14:paraId="054590B2">
      <w:pPr>
        <w:pStyle w:val="6"/>
        <w:spacing w:before="0" w:after="0" w:line="500" w:lineRule="exact"/>
        <w:rPr>
          <w:rFonts w:ascii="仿宋" w:hAnsi="仿宋" w:eastAsia="仿宋" w:cs="仿宋_GB2312"/>
          <w:b/>
          <w:bCs/>
          <w:sz w:val="44"/>
          <w:szCs w:val="44"/>
        </w:rPr>
      </w:pPr>
      <w:r>
        <w:rPr>
          <w:rFonts w:hint="eastAsia" w:ascii="仿宋" w:hAnsi="仿宋" w:eastAsia="仿宋" w:cs="仿宋_GB2312"/>
          <w:b/>
          <w:bCs/>
          <w:sz w:val="44"/>
          <w:szCs w:val="44"/>
        </w:rPr>
        <w:t>投标人法定代表人授权书</w:t>
      </w:r>
    </w:p>
    <w:p w14:paraId="74466DEE">
      <w:pPr>
        <w:spacing w:line="500" w:lineRule="exact"/>
        <w:rPr>
          <w:rFonts w:hint="eastAsia" w:ascii="仿宋" w:hAnsi="仿宋" w:eastAsia="仿宋" w:cs="仿宋"/>
          <w:color w:val="000000"/>
          <w:sz w:val="32"/>
          <w:szCs w:val="32"/>
        </w:rPr>
      </w:pPr>
    </w:p>
    <w:p w14:paraId="7A9F54FA">
      <w:pPr>
        <w:tabs>
          <w:tab w:val="left" w:pos="4200"/>
        </w:tabs>
        <w:spacing w:line="500" w:lineRule="exact"/>
        <w:ind w:right="-53" w:rightChars="-25" w:firstLine="6240" w:firstLineChars="1950"/>
        <w:jc w:val="left"/>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 xml:space="preserve">               </w:t>
      </w:r>
    </w:p>
    <w:p w14:paraId="570613CF">
      <w:pPr>
        <w:tabs>
          <w:tab w:val="left" w:pos="4200"/>
        </w:tabs>
        <w:spacing w:line="500" w:lineRule="exact"/>
        <w:ind w:right="-53" w:rightChars="-25" w:firstLine="6240" w:firstLineChars="1950"/>
        <w:jc w:val="lef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xml:space="preserve">               </w:t>
      </w:r>
    </w:p>
    <w:p w14:paraId="0243C57C">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致：</w:t>
      </w:r>
      <w:r>
        <w:rPr>
          <w:rFonts w:hint="eastAsia" w:ascii="仿宋" w:hAnsi="仿宋" w:eastAsia="仿宋" w:cs="仿宋"/>
          <w:color w:val="000000"/>
          <w:sz w:val="32"/>
          <w:szCs w:val="32"/>
          <w:u w:val="single"/>
        </w:rPr>
        <w:t>(招标机构名称)</w:t>
      </w:r>
    </w:p>
    <w:p w14:paraId="0B544237">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u w:val="single"/>
        </w:rPr>
        <w:t>(投标人名称)</w:t>
      </w:r>
      <w:r>
        <w:rPr>
          <w:rFonts w:hint="eastAsia" w:ascii="仿宋" w:hAnsi="仿宋" w:eastAsia="仿宋" w:cs="仿宋"/>
          <w:color w:val="000000"/>
          <w:sz w:val="32"/>
          <w:szCs w:val="32"/>
        </w:rPr>
        <w:t>，中华人民共和国合法企业，法定地址_____________。</w:t>
      </w:r>
    </w:p>
    <w:p w14:paraId="01BBF73D">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u w:val="single"/>
        </w:rPr>
        <w:t>(授权人姓名)</w:t>
      </w:r>
      <w:r>
        <w:rPr>
          <w:rFonts w:hint="eastAsia" w:ascii="仿宋" w:hAnsi="仿宋" w:eastAsia="仿宋" w:cs="仿宋"/>
          <w:color w:val="000000"/>
          <w:sz w:val="32"/>
          <w:szCs w:val="32"/>
        </w:rPr>
        <w:t>特授权</w:t>
      </w:r>
      <w:r>
        <w:rPr>
          <w:rFonts w:hint="eastAsia" w:ascii="仿宋" w:hAnsi="仿宋" w:eastAsia="仿宋" w:cs="仿宋"/>
          <w:color w:val="000000"/>
          <w:sz w:val="32"/>
          <w:szCs w:val="32"/>
          <w:u w:val="single"/>
        </w:rPr>
        <w:t>(被授权人姓名)</w:t>
      </w:r>
      <w:r>
        <w:rPr>
          <w:rFonts w:hint="eastAsia" w:ascii="仿宋" w:hAnsi="仿宋" w:eastAsia="仿宋" w:cs="仿宋"/>
          <w:color w:val="000000"/>
          <w:sz w:val="32"/>
          <w:szCs w:val="32"/>
        </w:rPr>
        <w:t>代表我公司全权办理针对万基控股集团有限公司</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项目的投标、谈判、签约等具体工作，并签署全部有关的文件、协议及合同。我公司对被授权人的签名负全部责任。</w:t>
      </w:r>
    </w:p>
    <w:p w14:paraId="3C570193">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在撤销授权的书面通知送达对方以前，本授权书一直有效。被授权人签署的所有文件(在授权书有效期内签署的)不因授权的撤消而失效。</w:t>
      </w:r>
    </w:p>
    <w:p w14:paraId="23B0C87D">
      <w:pPr>
        <w:spacing w:line="500" w:lineRule="exact"/>
        <w:rPr>
          <w:rFonts w:hint="eastAsia" w:ascii="仿宋" w:hAnsi="仿宋" w:eastAsia="仿宋" w:cs="仿宋"/>
          <w:color w:val="000000"/>
          <w:sz w:val="32"/>
          <w:szCs w:val="32"/>
        </w:rPr>
      </w:pPr>
    </w:p>
    <w:p w14:paraId="73141D65">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被授权人签名：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授权人签名：</w:t>
      </w:r>
      <w:r>
        <w:rPr>
          <w:rFonts w:hint="eastAsia" w:ascii="仿宋" w:hAnsi="仿宋" w:eastAsia="仿宋" w:cs="仿宋"/>
          <w:color w:val="000000"/>
          <w:sz w:val="32"/>
          <w:szCs w:val="32"/>
          <w:u w:val="single"/>
        </w:rPr>
        <w:t xml:space="preserve">              </w:t>
      </w:r>
    </w:p>
    <w:p w14:paraId="57F64F62">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职        务：                    职      务：              </w:t>
      </w:r>
    </w:p>
    <w:p w14:paraId="3A9C0117">
      <w:pPr>
        <w:spacing w:line="500" w:lineRule="exact"/>
        <w:rPr>
          <w:rFonts w:hint="eastAsia" w:ascii="仿宋" w:hAnsi="仿宋" w:eastAsia="仿宋" w:cs="仿宋"/>
          <w:sz w:val="32"/>
          <w:szCs w:val="32"/>
        </w:rPr>
      </w:pPr>
      <w:r>
        <w:rPr>
          <w:rFonts w:hint="eastAsia" w:ascii="仿宋" w:hAnsi="仿宋" w:eastAsia="仿宋" w:cs="仿宋"/>
          <w:color w:val="000000"/>
          <w:sz w:val="32"/>
          <w:szCs w:val="32"/>
        </w:rPr>
        <w:t xml:space="preserve">                                  投标人公章：</w:t>
      </w:r>
      <w:r>
        <w:rPr>
          <w:rFonts w:hint="eastAsia" w:ascii="仿宋" w:hAnsi="仿宋" w:eastAsia="仿宋" w:cs="仿宋"/>
          <w:color w:val="000000"/>
          <w:sz w:val="32"/>
          <w:szCs w:val="32"/>
          <w:u w:val="single"/>
        </w:rPr>
        <w:t xml:space="preserve">           </w:t>
      </w:r>
    </w:p>
    <w:p w14:paraId="51538BD8">
      <w:pPr>
        <w:pStyle w:val="6"/>
        <w:spacing w:before="0" w:after="0" w:line="500" w:lineRule="exact"/>
        <w:jc w:val="both"/>
        <w:rPr>
          <w:rFonts w:hint="eastAsia" w:ascii="仿宋" w:hAnsi="仿宋" w:eastAsia="仿宋" w:cs="仿宋"/>
          <w:sz w:val="32"/>
          <w:szCs w:val="32"/>
        </w:rPr>
      </w:pPr>
    </w:p>
    <w:p w14:paraId="5F7D68EF">
      <w:pPr>
        <w:pStyle w:val="6"/>
        <w:spacing w:before="0" w:after="0" w:line="500" w:lineRule="exact"/>
        <w:jc w:val="both"/>
        <w:rPr>
          <w:rFonts w:ascii="仿宋" w:hAnsi="仿宋" w:eastAsia="仿宋"/>
          <w:sz w:val="32"/>
          <w:szCs w:val="32"/>
        </w:rPr>
      </w:pPr>
    </w:p>
    <w:p w14:paraId="48810D55">
      <w:pPr>
        <w:pStyle w:val="6"/>
        <w:spacing w:before="0" w:after="0" w:line="500" w:lineRule="exact"/>
        <w:jc w:val="both"/>
        <w:rPr>
          <w:rFonts w:ascii="仿宋" w:hAnsi="仿宋" w:eastAsia="仿宋"/>
          <w:sz w:val="32"/>
          <w:szCs w:val="32"/>
        </w:rPr>
      </w:pPr>
    </w:p>
    <w:p w14:paraId="60E1DE89">
      <w:pPr>
        <w:pStyle w:val="12"/>
        <w:ind w:firstLine="0" w:firstLineChars="0"/>
        <w:rPr>
          <w:rFonts w:hint="eastAsia" w:ascii="仿宋" w:hAnsi="仿宋" w:eastAsia="仿宋"/>
          <w:sz w:val="32"/>
          <w:szCs w:val="32"/>
        </w:rPr>
      </w:pPr>
    </w:p>
    <w:p w14:paraId="09CA6F3C">
      <w:pPr>
        <w:spacing w:line="700" w:lineRule="exact"/>
        <w:rPr>
          <w:rFonts w:hint="eastAsia" w:ascii="宋体" w:hAnsi="宋体" w:cs="宋体"/>
          <w:b/>
          <w:bCs/>
          <w:snapToGrid w:val="0"/>
          <w:sz w:val="32"/>
          <w:szCs w:val="32"/>
        </w:rPr>
      </w:pPr>
    </w:p>
    <w:p w14:paraId="3C33C673">
      <w:pPr>
        <w:spacing w:line="700" w:lineRule="exact"/>
        <w:rPr>
          <w:rFonts w:hint="eastAsia" w:ascii="宋体" w:hAnsi="宋体" w:cs="宋体"/>
          <w:b/>
          <w:bCs/>
          <w:snapToGrid w:val="0"/>
          <w:sz w:val="32"/>
          <w:szCs w:val="32"/>
        </w:rPr>
      </w:pPr>
      <w:r>
        <w:rPr>
          <w:rFonts w:hint="eastAsia" w:ascii="宋体" w:hAnsi="宋体" w:cs="宋体"/>
          <w:b/>
          <w:bCs/>
          <w:snapToGrid w:val="0"/>
          <w:sz w:val="32"/>
          <w:szCs w:val="32"/>
        </w:rPr>
        <w:t>附件</w:t>
      </w:r>
      <w:r>
        <w:rPr>
          <w:rFonts w:hint="eastAsia" w:ascii="宋体" w:hAnsi="宋体" w:cs="宋体"/>
          <w:b/>
          <w:bCs/>
          <w:snapToGrid w:val="0"/>
          <w:sz w:val="32"/>
          <w:szCs w:val="32"/>
          <w:lang w:val="en-US" w:eastAsia="zh-CN"/>
        </w:rPr>
        <w:t>2：</w:t>
      </w:r>
      <w:r>
        <w:rPr>
          <w:rFonts w:hint="eastAsia" w:ascii="宋体" w:hAnsi="宋体" w:cs="宋体"/>
          <w:b/>
          <w:bCs/>
          <w:snapToGrid w:val="0"/>
          <w:sz w:val="32"/>
          <w:szCs w:val="32"/>
        </w:rPr>
        <w:t>廉政承诺书</w:t>
      </w:r>
    </w:p>
    <w:p w14:paraId="08B9885A">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5DC37F52">
      <w:pPr>
        <w:spacing w:line="480" w:lineRule="exact"/>
        <w:ind w:firstLine="640" w:firstLineChars="200"/>
        <w:rPr>
          <w:rFonts w:ascii="仿宋" w:hAnsi="仿宋" w:eastAsia="仿宋"/>
          <w:sz w:val="32"/>
          <w:szCs w:val="32"/>
        </w:rPr>
      </w:pPr>
    </w:p>
    <w:p w14:paraId="0C5EC33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4B7F57F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4B21CF1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780750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046AC23C">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4485367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287A8E7">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4259EE9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4F2E722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E55987B">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5FDE0674">
      <w:pPr>
        <w:spacing w:line="420" w:lineRule="exact"/>
        <w:rPr>
          <w:rFonts w:ascii="仿宋" w:hAnsi="仿宋" w:eastAsia="仿宋"/>
          <w:sz w:val="32"/>
          <w:szCs w:val="32"/>
        </w:rPr>
      </w:pPr>
    </w:p>
    <w:p w14:paraId="1B9E4E4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6DAB076A">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1DC0D785">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3DD07F5C">
      <w:pPr>
        <w:pStyle w:val="8"/>
      </w:pPr>
    </w:p>
    <w:p w14:paraId="0B24BEB7"/>
    <w:p w14:paraId="77609274">
      <w:pPr>
        <w:spacing w:line="700" w:lineRule="exact"/>
      </w:pPr>
      <w:r>
        <w:rPr>
          <w:rFonts w:hint="eastAsia" w:ascii="宋体" w:hAnsi="宋体" w:cs="宋体"/>
          <w:b/>
          <w:bCs/>
          <w:snapToGrid w:val="0"/>
          <w:sz w:val="32"/>
          <w:szCs w:val="32"/>
        </w:rPr>
        <w:t>附件</w:t>
      </w:r>
      <w:r>
        <w:rPr>
          <w:rFonts w:hint="eastAsia" w:ascii="宋体" w:hAnsi="宋体" w:cs="宋体"/>
          <w:b/>
          <w:bCs/>
          <w:snapToGrid w:val="0"/>
          <w:sz w:val="32"/>
          <w:szCs w:val="32"/>
          <w:lang w:val="en-US" w:eastAsia="zh-CN"/>
        </w:rPr>
        <w:t>3</w:t>
      </w:r>
      <w:r>
        <w:rPr>
          <w:rFonts w:hint="eastAsia" w:ascii="宋体" w:hAnsi="宋体" w:cs="宋体"/>
          <w:b/>
          <w:bCs/>
          <w:snapToGrid w:val="0"/>
          <w:sz w:val="32"/>
          <w:szCs w:val="32"/>
        </w:rPr>
        <w:t xml:space="preserve">  报价单</w:t>
      </w:r>
    </w:p>
    <w:p w14:paraId="6D0FCA0F">
      <w:pPr>
        <w:spacing w:line="360" w:lineRule="exact"/>
        <w:ind w:left="5067" w:hanging="5067" w:hangingChars="2413"/>
        <w:rPr>
          <w:rFonts w:hint="eastAsia" w:ascii="楷体_GB2312" w:hAnsi="华文中宋"/>
          <w:b/>
          <w:kern w:val="20"/>
          <w:sz w:val="24"/>
        </w:rPr>
      </w:pPr>
      <w:r>
        <w:drawing>
          <wp:anchor distT="0" distB="0" distL="114300" distR="114300" simplePos="0" relativeHeight="251659264" behindDoc="1" locked="0" layoutInCell="1" allowOverlap="1">
            <wp:simplePos x="0" y="0"/>
            <wp:positionH relativeFrom="column">
              <wp:posOffset>1114425</wp:posOffset>
            </wp:positionH>
            <wp:positionV relativeFrom="paragraph">
              <wp:posOffset>9525</wp:posOffset>
            </wp:positionV>
            <wp:extent cx="3314700" cy="485775"/>
            <wp:effectExtent l="0" t="0" r="0" b="9525"/>
            <wp:wrapSquare wrapText="bothSides"/>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4"/>
                    <a:stretch>
                      <a:fillRect/>
                    </a:stretch>
                  </pic:blipFill>
                  <pic:spPr>
                    <a:xfrm>
                      <a:off x="0" y="0"/>
                      <a:ext cx="3314700" cy="485775"/>
                    </a:xfrm>
                    <a:prstGeom prst="rect">
                      <a:avLst/>
                    </a:prstGeom>
                    <a:noFill/>
                    <a:ln>
                      <a:noFill/>
                    </a:ln>
                  </pic:spPr>
                </pic:pic>
              </a:graphicData>
            </a:graphic>
          </wp:anchor>
        </w:drawing>
      </w:r>
    </w:p>
    <w:p w14:paraId="6FF9A67D">
      <w:pPr>
        <w:spacing w:before="156" w:beforeLines="50" w:line="360" w:lineRule="exact"/>
        <w:ind w:left="12597" w:hanging="12597" w:hangingChars="2413"/>
        <w:jc w:val="center"/>
        <w:rPr>
          <w:rFonts w:hint="eastAsia" w:ascii="宋体" w:hAnsi="宋体"/>
          <w:b/>
          <w:kern w:val="20"/>
          <w:sz w:val="52"/>
          <w:szCs w:val="52"/>
        </w:rPr>
      </w:pPr>
      <w:r>
        <w:rPr>
          <w:rFonts w:hint="eastAsia" w:ascii="宋体" w:hAnsi="宋体"/>
          <w:b/>
          <w:kern w:val="20"/>
          <w:sz w:val="52"/>
          <w:szCs w:val="52"/>
        </w:rPr>
        <w:t xml:space="preserve">  </w:t>
      </w:r>
    </w:p>
    <w:p w14:paraId="5CD9FBC8">
      <w:pPr>
        <w:keepNext w:val="0"/>
        <w:keepLines w:val="0"/>
        <w:pageBreakBefore w:val="0"/>
        <w:widowControl/>
        <w:kinsoku/>
        <w:wordWrap/>
        <w:overflowPunct/>
        <w:topLinePunct w:val="0"/>
        <w:autoSpaceDE w:val="0"/>
        <w:autoSpaceDN w:val="0"/>
        <w:bidi w:val="0"/>
        <w:adjustRightInd/>
        <w:snapToGrid/>
        <w:spacing w:after="313" w:afterLines="100" w:line="800" w:lineRule="exact"/>
        <w:jc w:val="center"/>
        <w:textAlignment w:val="bottom"/>
        <w:rPr>
          <w:rFonts w:hint="eastAsia"/>
        </w:rPr>
      </w:pPr>
      <w:r>
        <w:rPr>
          <w:rFonts w:hint="eastAsia" w:ascii="宋体" w:hAnsi="宋体"/>
          <w:b/>
          <w:kern w:val="20"/>
          <w:sz w:val="44"/>
          <w:szCs w:val="44"/>
          <w:lang w:val="en-US" w:eastAsia="zh-CN"/>
        </w:rPr>
        <w:t>AED(自动体外除颤仪)采购</w:t>
      </w:r>
      <w:r>
        <w:rPr>
          <w:rFonts w:hint="eastAsia" w:ascii="宋体" w:hAnsi="宋体"/>
          <w:b/>
          <w:kern w:val="20"/>
          <w:sz w:val="44"/>
          <w:szCs w:val="44"/>
        </w:rPr>
        <w:t>报价单</w:t>
      </w:r>
    </w:p>
    <w:tbl>
      <w:tblPr>
        <w:tblStyle w:val="9"/>
        <w:tblW w:w="50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81"/>
        <w:gridCol w:w="1233"/>
        <w:gridCol w:w="710"/>
        <w:gridCol w:w="695"/>
        <w:gridCol w:w="1506"/>
        <w:gridCol w:w="1506"/>
        <w:gridCol w:w="804"/>
      </w:tblGrid>
      <w:tr w14:paraId="599E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90" w:type="pct"/>
            <w:noWrap w:val="0"/>
            <w:vAlign w:val="center"/>
          </w:tcPr>
          <w:p w14:paraId="3BA8DA51">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序号</w:t>
            </w:r>
          </w:p>
        </w:tc>
        <w:tc>
          <w:tcPr>
            <w:tcW w:w="860" w:type="pct"/>
            <w:noWrap w:val="0"/>
            <w:vAlign w:val="center"/>
          </w:tcPr>
          <w:p w14:paraId="48AD077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名称</w:t>
            </w:r>
          </w:p>
        </w:tc>
        <w:tc>
          <w:tcPr>
            <w:tcW w:w="716" w:type="pct"/>
            <w:noWrap w:val="0"/>
            <w:vAlign w:val="center"/>
          </w:tcPr>
          <w:p w14:paraId="39463FC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规格型号</w:t>
            </w:r>
          </w:p>
        </w:tc>
        <w:tc>
          <w:tcPr>
            <w:tcW w:w="412" w:type="pct"/>
            <w:noWrap w:val="0"/>
            <w:vAlign w:val="center"/>
          </w:tcPr>
          <w:p w14:paraId="6724CC3E">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单位</w:t>
            </w:r>
          </w:p>
        </w:tc>
        <w:tc>
          <w:tcPr>
            <w:tcW w:w="403" w:type="pct"/>
            <w:noWrap w:val="0"/>
            <w:vAlign w:val="center"/>
          </w:tcPr>
          <w:p w14:paraId="40F7620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数量</w:t>
            </w:r>
          </w:p>
        </w:tc>
        <w:tc>
          <w:tcPr>
            <w:tcW w:w="874" w:type="pct"/>
            <w:noWrap w:val="0"/>
            <w:vAlign w:val="center"/>
          </w:tcPr>
          <w:p w14:paraId="22268C4E">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单价（元）</w:t>
            </w:r>
          </w:p>
        </w:tc>
        <w:tc>
          <w:tcPr>
            <w:tcW w:w="874" w:type="pct"/>
            <w:noWrap w:val="0"/>
            <w:vAlign w:val="center"/>
          </w:tcPr>
          <w:p w14:paraId="041207AF">
            <w:pPr>
              <w:widowControl/>
              <w:jc w:val="center"/>
              <w:textAlignment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总价（元）</w:t>
            </w:r>
          </w:p>
        </w:tc>
        <w:tc>
          <w:tcPr>
            <w:tcW w:w="467" w:type="pct"/>
            <w:noWrap w:val="0"/>
            <w:vAlign w:val="center"/>
          </w:tcPr>
          <w:p w14:paraId="186D78D8">
            <w:pPr>
              <w:widowControl/>
              <w:jc w:val="center"/>
              <w:textAlignment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val="en-US" w:eastAsia="zh-CN" w:bidi="ar"/>
              </w:rPr>
              <w:t>品牌</w:t>
            </w:r>
          </w:p>
        </w:tc>
      </w:tr>
      <w:tr w14:paraId="67C6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90" w:type="pct"/>
            <w:shd w:val="clear" w:color="auto" w:fill="auto"/>
            <w:noWrap w:val="0"/>
            <w:vAlign w:val="center"/>
          </w:tcPr>
          <w:p w14:paraId="7271E9E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w:t>
            </w:r>
          </w:p>
        </w:tc>
        <w:tc>
          <w:tcPr>
            <w:tcW w:w="860" w:type="pct"/>
            <w:shd w:val="clear" w:color="auto" w:fill="FFFFFF"/>
            <w:noWrap w:val="0"/>
            <w:vAlign w:val="center"/>
          </w:tcPr>
          <w:p w14:paraId="223005AC">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AED(自动体外除颤仪）</w:t>
            </w:r>
          </w:p>
        </w:tc>
        <w:tc>
          <w:tcPr>
            <w:tcW w:w="716" w:type="pct"/>
            <w:shd w:val="clear" w:color="auto" w:fill="FFFFFF"/>
            <w:noWrap w:val="0"/>
            <w:vAlign w:val="center"/>
          </w:tcPr>
          <w:p w14:paraId="2223D7DB">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根据所报品牌型号自行填写</w:t>
            </w:r>
          </w:p>
        </w:tc>
        <w:tc>
          <w:tcPr>
            <w:tcW w:w="412" w:type="pct"/>
            <w:shd w:val="clear" w:color="auto" w:fill="FFFFFF"/>
            <w:noWrap w:val="0"/>
            <w:vAlign w:val="center"/>
          </w:tcPr>
          <w:p w14:paraId="0194E30D">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台</w:t>
            </w:r>
          </w:p>
        </w:tc>
        <w:tc>
          <w:tcPr>
            <w:tcW w:w="403" w:type="pct"/>
            <w:shd w:val="clear" w:color="auto" w:fill="FFFFFF"/>
            <w:noWrap w:val="0"/>
            <w:vAlign w:val="center"/>
          </w:tcPr>
          <w:p w14:paraId="0F27E430">
            <w:pPr>
              <w:widowControl/>
              <w:jc w:val="center"/>
              <w:textAlignment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18</w:t>
            </w:r>
          </w:p>
        </w:tc>
        <w:tc>
          <w:tcPr>
            <w:tcW w:w="874" w:type="pct"/>
            <w:shd w:val="clear" w:color="auto" w:fill="FFFFFF"/>
            <w:noWrap w:val="0"/>
            <w:vAlign w:val="center"/>
          </w:tcPr>
          <w:p w14:paraId="6F119F0B">
            <w:pPr>
              <w:widowControl/>
              <w:jc w:val="center"/>
              <w:textAlignment w:val="center"/>
              <w:rPr>
                <w:rFonts w:hint="eastAsia" w:ascii="仿宋" w:hAnsi="仿宋" w:eastAsia="仿宋" w:cs="仿宋"/>
                <w:color w:val="000000"/>
                <w:kern w:val="0"/>
                <w:sz w:val="22"/>
                <w:szCs w:val="22"/>
                <w:lang w:bidi="ar"/>
              </w:rPr>
            </w:pPr>
          </w:p>
        </w:tc>
        <w:tc>
          <w:tcPr>
            <w:tcW w:w="874" w:type="pct"/>
            <w:shd w:val="clear" w:color="auto" w:fill="FFFFFF"/>
            <w:noWrap w:val="0"/>
            <w:vAlign w:val="center"/>
          </w:tcPr>
          <w:p w14:paraId="3381D9A8">
            <w:pPr>
              <w:widowControl/>
              <w:jc w:val="center"/>
              <w:textAlignment w:val="center"/>
              <w:rPr>
                <w:rFonts w:hint="eastAsia" w:ascii="仿宋" w:hAnsi="仿宋" w:eastAsia="仿宋" w:cs="仿宋"/>
                <w:color w:val="000000"/>
                <w:kern w:val="0"/>
                <w:sz w:val="22"/>
                <w:szCs w:val="22"/>
                <w:lang w:bidi="ar"/>
              </w:rPr>
            </w:pPr>
          </w:p>
        </w:tc>
        <w:tc>
          <w:tcPr>
            <w:tcW w:w="467" w:type="pct"/>
            <w:shd w:val="clear" w:color="auto" w:fill="FFFFFF"/>
            <w:noWrap w:val="0"/>
            <w:vAlign w:val="center"/>
          </w:tcPr>
          <w:p w14:paraId="3CE84F47">
            <w:pPr>
              <w:widowControl/>
              <w:jc w:val="center"/>
              <w:textAlignment w:val="center"/>
              <w:rPr>
                <w:rFonts w:ascii="仿宋" w:hAnsi="仿宋" w:eastAsia="仿宋" w:cs="仿宋"/>
                <w:color w:val="000000"/>
                <w:kern w:val="0"/>
                <w:sz w:val="22"/>
                <w:szCs w:val="22"/>
                <w:lang w:bidi="ar"/>
              </w:rPr>
            </w:pPr>
          </w:p>
        </w:tc>
      </w:tr>
      <w:tr w14:paraId="62CC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8"/>
            <w:noWrap w:val="0"/>
            <w:vAlign w:val="center"/>
          </w:tcPr>
          <w:p w14:paraId="7F48CDC7">
            <w:pPr>
              <w:tabs>
                <w:tab w:val="left" w:pos="1452"/>
              </w:tabs>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合计</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大写（人民币）                       </w:t>
            </w:r>
            <w:r>
              <w:rPr>
                <w:rFonts w:hint="eastAsia" w:ascii="仿宋" w:hAnsi="仿宋" w:eastAsia="仿宋" w:cs="仿宋"/>
                <w:color w:val="000000"/>
                <w:kern w:val="0"/>
                <w:sz w:val="22"/>
                <w:szCs w:val="22"/>
                <w:lang w:val="en-US" w:eastAsia="zh-CN" w:bidi="ar"/>
              </w:rPr>
              <w:t xml:space="preserve">  </w:t>
            </w:r>
            <w:r>
              <w:rPr>
                <w:rFonts w:hint="eastAsia" w:ascii="仿宋" w:hAnsi="仿宋" w:eastAsia="仿宋" w:cs="仿宋"/>
                <w:color w:val="000000"/>
                <w:kern w:val="0"/>
                <w:sz w:val="22"/>
                <w:szCs w:val="22"/>
                <w:lang w:bidi="ar"/>
              </w:rPr>
              <w:t xml:space="preserve"> </w:t>
            </w:r>
            <w:r>
              <w:rPr>
                <w:rFonts w:hint="eastAsia" w:ascii="宋体" w:hAnsi="宋体" w:cs="宋体"/>
                <w:color w:val="000000"/>
                <w:kern w:val="0"/>
                <w:sz w:val="22"/>
                <w:szCs w:val="22"/>
                <w:lang w:bidi="ar"/>
              </w:rPr>
              <w:t>¥</w:t>
            </w:r>
            <w:r>
              <w:rPr>
                <w:rFonts w:hint="eastAsia" w:ascii="仿宋" w:hAnsi="仿宋" w:eastAsia="仿宋" w:cs="仿宋"/>
                <w:color w:val="000000"/>
                <w:kern w:val="0"/>
                <w:sz w:val="22"/>
                <w:szCs w:val="22"/>
                <w:lang w:bidi="ar"/>
              </w:rPr>
              <w:t>：          .00元</w:t>
            </w:r>
          </w:p>
        </w:tc>
      </w:tr>
    </w:tbl>
    <w:p w14:paraId="3445D9C3">
      <w:pPr>
        <w:keepNext w:val="0"/>
        <w:keepLines w:val="0"/>
        <w:pageBreakBefore w:val="0"/>
        <w:widowControl w:val="0"/>
        <w:tabs>
          <w:tab w:val="left" w:pos="6945"/>
        </w:tabs>
        <w:kinsoku/>
        <w:wordWrap/>
        <w:overflowPunct/>
        <w:topLinePunct w:val="0"/>
        <w:autoSpaceDE/>
        <w:autoSpaceDN/>
        <w:bidi w:val="0"/>
        <w:adjustRightInd/>
        <w:snapToGrid/>
        <w:spacing w:line="420" w:lineRule="exact"/>
        <w:textAlignment w:val="auto"/>
        <w:rPr>
          <w:sz w:val="28"/>
          <w:szCs w:val="28"/>
        </w:rPr>
      </w:pPr>
      <w:r>
        <w:rPr>
          <w:rFonts w:hint="eastAsia" w:ascii="仿宋" w:hAnsi="仿宋" w:eastAsia="仿宋"/>
          <w:sz w:val="28"/>
          <w:szCs w:val="28"/>
        </w:rPr>
        <w:t>报价说明：</w:t>
      </w:r>
    </w:p>
    <w:p w14:paraId="24D32230">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ascii="仿宋" w:hAnsi="仿宋" w:eastAsia="仿宋"/>
          <w:color w:val="auto"/>
          <w:sz w:val="28"/>
          <w:szCs w:val="28"/>
          <w:u w:val="single"/>
        </w:rPr>
      </w:pPr>
      <w:r>
        <w:rPr>
          <w:rFonts w:hint="eastAsia" w:ascii="仿宋" w:hAnsi="仿宋" w:eastAsia="仿宋"/>
          <w:color w:val="auto"/>
          <w:sz w:val="28"/>
          <w:szCs w:val="28"/>
        </w:rPr>
        <w:t>招标文件</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技术要求、</w:t>
      </w:r>
      <w:r>
        <w:rPr>
          <w:rFonts w:hint="eastAsia" w:ascii="仿宋" w:hAnsi="仿宋" w:eastAsia="仿宋"/>
          <w:color w:val="auto"/>
          <w:sz w:val="28"/>
          <w:szCs w:val="28"/>
        </w:rPr>
        <w:t>合同条款我公司已仔细阅读，完全响应招标文件、</w:t>
      </w:r>
      <w:r>
        <w:rPr>
          <w:rFonts w:hint="eastAsia" w:ascii="仿宋" w:hAnsi="仿宋" w:eastAsia="仿宋"/>
          <w:color w:val="auto"/>
          <w:sz w:val="28"/>
          <w:szCs w:val="28"/>
          <w:lang w:eastAsia="zh-CN"/>
        </w:rPr>
        <w:t>技术</w:t>
      </w:r>
      <w:r>
        <w:rPr>
          <w:rFonts w:hint="eastAsia" w:ascii="仿宋" w:hAnsi="仿宋" w:eastAsia="仿宋"/>
          <w:color w:val="auto"/>
          <w:sz w:val="28"/>
          <w:szCs w:val="28"/>
          <w:lang w:val="en-US" w:eastAsia="zh-CN"/>
        </w:rPr>
        <w:t>要求</w:t>
      </w:r>
      <w:r>
        <w:rPr>
          <w:rFonts w:hint="eastAsia" w:ascii="仿宋" w:hAnsi="仿宋" w:eastAsia="仿宋"/>
          <w:color w:val="auto"/>
          <w:sz w:val="28"/>
          <w:szCs w:val="28"/>
        </w:rPr>
        <w:t>及合同条款。</w:t>
      </w:r>
    </w:p>
    <w:p w14:paraId="37F017A6">
      <w:pPr>
        <w:keepNext w:val="0"/>
        <w:keepLines w:val="0"/>
        <w:pageBreakBefore w:val="0"/>
        <w:widowControl w:val="0"/>
        <w:numPr>
          <w:ilvl w:val="0"/>
          <w:numId w:val="1"/>
        </w:numPr>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sz w:val="28"/>
          <w:szCs w:val="28"/>
        </w:rPr>
        <w:t>交货期：</w:t>
      </w:r>
      <w:r>
        <w:rPr>
          <w:rFonts w:hint="eastAsia" w:ascii="仿宋" w:hAnsi="仿宋" w:eastAsia="仿宋"/>
          <w:color w:val="auto"/>
          <w:sz w:val="28"/>
          <w:szCs w:val="28"/>
          <w:lang w:val="en-US" w:eastAsia="zh-CN"/>
        </w:rPr>
        <w:t xml:space="preserve">中标供应商需在合同签订后15个工作日内，完成所有AED设备的运输、安装、调试，确保设备正常运行，交付招标单位使用。              </w:t>
      </w:r>
    </w:p>
    <w:p w14:paraId="55DF4705">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、此报价包含</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%增值税，各种杂费等</w:t>
      </w:r>
      <w:r>
        <w:rPr>
          <w:rFonts w:hint="eastAsia" w:ascii="仿宋" w:hAnsi="仿宋" w:eastAsia="仿宋"/>
          <w:sz w:val="28"/>
          <w:szCs w:val="28"/>
          <w:lang w:val="en-US" w:eastAsia="zh-CN"/>
        </w:rPr>
        <w:t>交付使用前</w:t>
      </w:r>
      <w:r>
        <w:rPr>
          <w:rFonts w:hint="eastAsia" w:ascii="仿宋" w:hAnsi="仿宋" w:eastAsia="仿宋"/>
          <w:sz w:val="28"/>
          <w:szCs w:val="28"/>
        </w:rPr>
        <w:t>的所有费用</w:t>
      </w:r>
      <w:r>
        <w:rPr>
          <w:rFonts w:hint="eastAsia" w:ascii="仿宋" w:hAnsi="仿宋" w:eastAsia="仿宋"/>
          <w:sz w:val="28"/>
          <w:szCs w:val="28"/>
          <w:lang w:eastAsia="zh-CN"/>
        </w:rPr>
        <w:t>。</w:t>
      </w:r>
      <w:r>
        <w:rPr>
          <w:rFonts w:hint="eastAsia" w:ascii="仿宋" w:hAnsi="仿宋" w:eastAsia="仿宋"/>
          <w:sz w:val="28"/>
          <w:szCs w:val="28"/>
        </w:rPr>
        <w:t xml:space="preserve">          </w:t>
      </w:r>
    </w:p>
    <w:p w14:paraId="019EA370">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、付款方式：</w:t>
      </w: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r>
        <w:rPr>
          <w:rFonts w:hint="eastAsia" w:ascii="仿宋" w:hAnsi="仿宋" w:eastAsia="仿宋" w:cs="Times New Roman"/>
          <w:sz w:val="28"/>
          <w:szCs w:val="28"/>
        </w:rPr>
        <w:t>。</w:t>
      </w:r>
    </w:p>
    <w:p w14:paraId="1B269DCD">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、质保</w:t>
      </w:r>
      <w:r>
        <w:rPr>
          <w:rFonts w:hint="eastAsia" w:ascii="仿宋" w:hAnsi="仿宋" w:eastAsia="仿宋"/>
          <w:sz w:val="28"/>
          <w:szCs w:val="28"/>
          <w:lang w:val="en-US" w:eastAsia="zh-CN"/>
        </w:rPr>
        <w:t>期：</w:t>
      </w:r>
      <w:r>
        <w:rPr>
          <w:rFonts w:hint="eastAsia" w:ascii="仿宋" w:hAnsi="仿宋" w:eastAsia="仿宋"/>
          <w:sz w:val="28"/>
          <w:szCs w:val="28"/>
        </w:rPr>
        <w:t>中标供应商需提供不少于2年的免费质保期，质保期内设备出现质量问题，免费维修、更换配件，不得收取任何费用；质保期外，提供优惠的维修及耗材供应服务。</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p>
    <w:p w14:paraId="79E20985">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、报价有效期：</w:t>
      </w:r>
      <w:r>
        <w:rPr>
          <w:rFonts w:hint="eastAsia" w:ascii="仿宋" w:hAnsi="仿宋" w:eastAsia="仿宋"/>
          <w:sz w:val="28"/>
          <w:szCs w:val="28"/>
          <w:u w:val="single"/>
        </w:rPr>
        <w:t xml:space="preserve"> 90 </w:t>
      </w:r>
      <w:r>
        <w:rPr>
          <w:rFonts w:hint="eastAsia" w:ascii="仿宋" w:hAnsi="仿宋" w:eastAsia="仿宋"/>
          <w:sz w:val="28"/>
          <w:szCs w:val="28"/>
        </w:rPr>
        <w:t>天（报价承诺的期限）</w:t>
      </w:r>
      <w:r>
        <w:rPr>
          <w:rFonts w:hint="eastAsia" w:ascii="仿宋" w:hAnsi="仿宋" w:eastAsia="仿宋"/>
          <w:sz w:val="28"/>
          <w:szCs w:val="28"/>
          <w:lang w:eastAsia="zh-CN"/>
        </w:rPr>
        <w:t>。</w:t>
      </w:r>
    </w:p>
    <w:p w14:paraId="5D7DED35">
      <w:pPr>
        <w:keepNext w:val="0"/>
        <w:keepLines w:val="0"/>
        <w:pageBreakBefore w:val="0"/>
        <w:widowControl w:val="0"/>
        <w:tabs>
          <w:tab w:val="left" w:pos="6945"/>
        </w:tabs>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rPr>
        <w:t>、投标单位要认真核算报价，并按报价格式给予报价，报价如出现大小写不符的，以大写报价为准；单价、总价不符的，以单价为准。</w:t>
      </w:r>
      <w:r>
        <w:rPr>
          <w:rFonts w:hint="eastAsia" w:ascii="仿宋" w:hAnsi="仿宋" w:eastAsia="仿宋"/>
          <w:sz w:val="28"/>
          <w:szCs w:val="28"/>
          <w:lang w:eastAsia="zh-CN"/>
        </w:rPr>
        <w:t>；</w:t>
      </w:r>
    </w:p>
    <w:p w14:paraId="670FC6EF">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报价单位（盖章）：</w:t>
      </w:r>
      <w:r>
        <w:rPr>
          <w:rFonts w:hint="eastAsia" w:ascii="仿宋" w:hAnsi="仿宋" w:eastAsia="仿宋"/>
          <w:sz w:val="28"/>
          <w:szCs w:val="28"/>
          <w:u w:val="single"/>
        </w:rPr>
        <w:t xml:space="preserve">              </w:t>
      </w:r>
    </w:p>
    <w:p w14:paraId="14F78418">
      <w:pPr>
        <w:keepNext w:val="0"/>
        <w:keepLines w:val="0"/>
        <w:pageBreakBefore w:val="0"/>
        <w:widowControl w:val="0"/>
        <w:tabs>
          <w:tab w:val="left" w:pos="5680"/>
        </w:tabs>
        <w:kinsoku/>
        <w:wordWrap/>
        <w:overflowPunct/>
        <w:topLinePunct w:val="0"/>
        <w:autoSpaceDE/>
        <w:autoSpaceDN/>
        <w:bidi w:val="0"/>
        <w:adjustRightInd/>
        <w:snapToGrid/>
        <w:spacing w:line="420" w:lineRule="exact"/>
        <w:jc w:val="center"/>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报价人：（签字）：</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14:paraId="35E1CCFD">
      <w:pPr>
        <w:keepNext w:val="0"/>
        <w:keepLines w:val="0"/>
        <w:pageBreakBefore w:val="0"/>
        <w:widowControl w:val="0"/>
        <w:tabs>
          <w:tab w:val="left" w:pos="6945"/>
        </w:tabs>
        <w:kinsoku/>
        <w:wordWrap/>
        <w:overflowPunct/>
        <w:topLinePunct w:val="0"/>
        <w:autoSpaceDE/>
        <w:autoSpaceDN/>
        <w:bidi w:val="0"/>
        <w:adjustRightInd/>
        <w:snapToGrid/>
        <w:spacing w:line="420" w:lineRule="exact"/>
        <w:jc w:val="center"/>
        <w:textAlignment w:val="auto"/>
        <w:rPr>
          <w:rFonts w:hint="eastAsia" w:ascii="宋体" w:hAnsi="宋体" w:cs="宋体"/>
          <w:b/>
          <w:bCs/>
          <w:snapToGrid w:val="0"/>
          <w:sz w:val="32"/>
          <w:szCs w:val="32"/>
        </w:rPr>
      </w:pPr>
      <w:r>
        <w:rPr>
          <w:rFonts w:hint="eastAsia" w:ascii="仿宋" w:hAnsi="仿宋" w:eastAsia="仿宋"/>
          <w:sz w:val="28"/>
          <w:szCs w:val="28"/>
          <w:lang w:val="en-US" w:eastAsia="zh-CN"/>
        </w:rPr>
        <w:t xml:space="preserve">                               </w:t>
      </w:r>
      <w:r>
        <w:rPr>
          <w:rFonts w:hint="eastAsia" w:ascii="仿宋" w:hAnsi="仿宋" w:eastAsia="仿宋"/>
          <w:sz w:val="28"/>
          <w:szCs w:val="28"/>
        </w:rPr>
        <w:t>报</w:t>
      </w:r>
      <w:r>
        <w:rPr>
          <w:rFonts w:hint="eastAsia" w:ascii="仿宋" w:hAnsi="仿宋" w:eastAsia="仿宋"/>
          <w:color w:val="auto"/>
          <w:sz w:val="28"/>
          <w:szCs w:val="28"/>
        </w:rPr>
        <w:t>价时间：</w:t>
      </w:r>
      <w:r>
        <w:rPr>
          <w:rFonts w:hint="eastAsia" w:ascii="仿宋" w:hAnsi="仿宋" w:eastAsia="仿宋"/>
          <w:color w:val="auto"/>
          <w:sz w:val="28"/>
          <w:szCs w:val="28"/>
          <w:lang w:eastAsia="zh-CN"/>
        </w:rPr>
        <w:t>2026年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29</w:t>
      </w:r>
      <w:r>
        <w:rPr>
          <w:rFonts w:hint="eastAsia" w:ascii="仿宋" w:hAnsi="仿宋" w:eastAsia="仿宋"/>
          <w:color w:val="auto"/>
          <w:sz w:val="28"/>
          <w:szCs w:val="28"/>
          <w:lang w:eastAsia="zh-CN"/>
        </w:rPr>
        <w:t>日</w:t>
      </w:r>
    </w:p>
    <w:p w14:paraId="6C3E62BD"/>
    <w:p w14:paraId="40C6BEFE"/>
    <w:p w14:paraId="6120D0EB">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技术要求</w:t>
      </w:r>
    </w:p>
    <w:p w14:paraId="7E4C7EC1">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一、参数要求：</w:t>
      </w:r>
    </w:p>
    <w:p w14:paraId="0176344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1.机器自身具备便携把手，便于携带。 重量≤2.8kg（含电极片和电池）便于公共场所携带使用。 </w:t>
      </w:r>
    </w:p>
    <w:p w14:paraId="215DEBF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2.提供中英文双语语音提示，可一键快速切换中英文，无需重新启动。 </w:t>
      </w:r>
    </w:p>
    <w:p w14:paraId="67047CEF">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★3.不小于 7 英寸彩屏，屏幕分辨率不低于 780×480，有清晰的动画指导贴放多功能电极片，心肺复苏（CPR)等操作，提高对普通施救人员的操作指导、准确施救。（提供所投产品的说明书佐证）  </w:t>
      </w:r>
    </w:p>
    <w:p w14:paraId="50BF021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4.能够根据环境光强度自动调节屏幕显示亮度，适应野外强光环境下使用。（提供所投产品的说明书佐证）</w:t>
      </w:r>
    </w:p>
    <w:p w14:paraId="0DD96A1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★5.为保障产品先进性，本次所投产品必须为2020年以后上市机型且上市时间≥24月，以产品注册证首次批准日期为准。（提供注册证佐证）</w:t>
      </w:r>
    </w:p>
    <w:p w14:paraId="2FC24D3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▲6.智能环境除噪：根据环境自动调整音量，适应急救现场嘈杂环境下使用。（提供所投产品的说明书佐证）  </w:t>
      </w:r>
    </w:p>
    <w:p w14:paraId="1F1739D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7.在 CPR 仅按压过程中持续提供操作指导和剩余按压次数提示。 </w:t>
      </w:r>
    </w:p>
    <w:p w14:paraId="558CBAF4">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8.除颤采用双相波技术，除颤波形：双相指数截断波形（BTE），具备自动阻抗补偿功能。 </w:t>
      </w:r>
    </w:p>
    <w:p w14:paraId="7192B07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★9.能量可递增，首次除颤没有消除室颤时，第二次和第三次电击自动使用更高级别能量。成人最大除颤能量可达 360J 。（提供所投产品的说明书佐证） </w:t>
      </w:r>
    </w:p>
    <w:p w14:paraId="1F02F745">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10.支持成人/小儿模式，且模式可一键切换。切换后机器根据选择的病人类型自动切换提示信息、除颤能量和 CPR 按压模式。 </w:t>
      </w:r>
    </w:p>
    <w:p w14:paraId="51A2BEF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11.具备自检功能：具备每日、每周、每月、每季度的设备自检和用户手动自检，可及时判断机器状态是否正常；自检反馈：根据自检结果，红灯/绿灯显示设备状态，不开机情况下可提示故障。（提供所投产品的说明书佐证）  </w:t>
      </w:r>
    </w:p>
    <w:p w14:paraId="4D35EBA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▲12.数据存储：可存储 ECG 波形数据、事件数据、录音数据、急救数据（须有急 救时间、CPR 持续时间、放电次数等要素）等，可存储不少于 3999份自检报告。（提供所投产品的说明书佐证）  </w:t>
      </w:r>
    </w:p>
    <w:p w14:paraId="6D6F15C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▲13.设备具备USB接口，无需转接可通过外部USB闪存设备导出抢救记录数据。（提供所投产品的说明书佐证）</w:t>
      </w:r>
    </w:p>
    <w:p w14:paraId="06740580">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▲14.单副电极片出厂有效期≥60个月（提供电极片照片佐证）</w:t>
      </w:r>
    </w:p>
    <w:p w14:paraId="620E841E">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★15.为避免误操作，设备开机后主机操作面板上的开关及按键数量≤3个，包括功能按键和非实体按键以及开机/关机按键。提供主机实物图照片和使用说明书证明材料。（提供所投产品的说明书佐证）</w:t>
      </w:r>
    </w:p>
    <w:p w14:paraId="545E7E51">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★16.电池仓满足螺丝固定，提高设备稳定性。（提供所投产品电池仓照片佐证）</w:t>
      </w:r>
    </w:p>
    <w:p w14:paraId="5232B7C6">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设备主机显示屏：可以显示按压频率数值，可通过不同颜色区分按压频率是否达标。（提供所投产品的说明书佐证）</w:t>
      </w:r>
    </w:p>
    <w:p w14:paraId="240267DD">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▲18.状态指示灯颜色≥3种。（提供所投产品的说明书佐证）</w:t>
      </w:r>
    </w:p>
    <w:p w14:paraId="52A55C33">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▲19.具备至少10种除颤能量选择，具备成人/儿童模式一键切换功能，或通过电极片自动识别并匹配相应能量与提示信息。（提供所投产品的说明书佐证）</w:t>
      </w:r>
    </w:p>
    <w:p w14:paraId="2F2EDE47">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▲20.为避免使用过程中误关机，设备仅支持开盖开机和关盖关机，再无其它开机关机方式。（提供所投产品的说明书佐证）</w:t>
      </w:r>
    </w:p>
    <w:p w14:paraId="6DE13B71">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outlineLvl w:val="1"/>
        <w:rPr>
          <w:rFonts w:hint="eastAsia" w:ascii="仿宋" w:hAnsi="仿宋" w:eastAsia="仿宋" w:cs="仿宋"/>
          <w:color w:val="auto"/>
          <w:sz w:val="32"/>
          <w:szCs w:val="32"/>
        </w:rPr>
      </w:pPr>
      <w:bookmarkStart w:id="2" w:name="heading_24"/>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供货周期</w:t>
      </w:r>
      <w:bookmarkEnd w:id="2"/>
    </w:p>
    <w:p w14:paraId="30A644C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中标供应商需在合同签订后15个工作日内，完成所有AED设备的运输、安装、调试，确保设备正常运行，交付招标单位使用。</w:t>
      </w:r>
    </w:p>
    <w:p w14:paraId="335259EA">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outlineLvl w:val="1"/>
        <w:rPr>
          <w:rFonts w:hint="eastAsia" w:ascii="仿宋" w:hAnsi="仿宋" w:eastAsia="仿宋" w:cs="仿宋"/>
          <w:color w:val="auto"/>
          <w:sz w:val="32"/>
          <w:szCs w:val="32"/>
        </w:rPr>
      </w:pPr>
      <w:bookmarkStart w:id="3" w:name="heading_25"/>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rPr>
        <w:t>验收标准</w:t>
      </w:r>
      <w:bookmarkEnd w:id="3"/>
    </w:p>
    <w:p w14:paraId="44C9ABA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设备外观：无破损、无划痕，包装完整，配件齐全（含电极片、电池、说明书、保修卡等）；</w:t>
      </w:r>
    </w:p>
    <w:p w14:paraId="3DA7DBB4">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设备性能：显示屏正常显示，操作指引清晰，心律识别、放电等功能正常，符合国家相关标准及招标文件要求；</w:t>
      </w:r>
    </w:p>
    <w:p w14:paraId="44105C88">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资质文件：提供设备原厂合格证、医疗器械注册证、检测报告等相关文件，确保齐全有效；</w:t>
      </w:r>
    </w:p>
    <w:p w14:paraId="0779D34B">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培训服务：中标供应商需为招标单位指定人员提供免费急救培训，确保相关人员掌握AED使用方法及应急处理流程。</w:t>
      </w:r>
    </w:p>
    <w:p w14:paraId="20B41123">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outlineLvl w:val="1"/>
        <w:rPr>
          <w:rFonts w:hint="eastAsia" w:ascii="仿宋" w:hAnsi="仿宋" w:eastAsia="仿宋" w:cs="仿宋"/>
          <w:color w:val="auto"/>
          <w:sz w:val="32"/>
          <w:szCs w:val="32"/>
        </w:rPr>
      </w:pPr>
      <w:bookmarkStart w:id="4" w:name="heading_26"/>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rPr>
        <w:t>验收流程</w:t>
      </w:r>
      <w:bookmarkEnd w:id="4"/>
    </w:p>
    <w:p w14:paraId="3E9EBAC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设备交付后，招标单位组织相关部门人员进行验收，验收合格后签署验收报告；若验收不合格，中标供应商需在3个工作日内整改，整改后仍不合格的，招标单位有权解除合同，要求中标供应商承担违约责任，并重新采购。</w:t>
      </w:r>
    </w:p>
    <w:p w14:paraId="537ECCF0">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仿宋" w:hAnsi="仿宋" w:eastAsia="仿宋" w:cs="仿宋"/>
          <w:color w:val="auto"/>
          <w:sz w:val="32"/>
          <w:szCs w:val="32"/>
        </w:rPr>
      </w:pPr>
      <w:bookmarkStart w:id="5" w:name="heading_27"/>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rPr>
        <w:t>售后服务要求</w:t>
      </w:r>
      <w:bookmarkEnd w:id="5"/>
    </w:p>
    <w:p w14:paraId="44D1E7DA">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质保期：中标供应商需提供不少于2年的免费质保期，质保期内设备出现质量问题，免费维修、更换配件，不得收取任何费用；质保期外，提供优惠的维修及耗材供应服务。</w:t>
      </w:r>
    </w:p>
    <w:p w14:paraId="4859C325">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响应服务：设备出现故障，中标供应商需在2小时内响应，24小时内上门维修，确保快速恢复设备正常使用；若无法现场修复，需提供临时替代设备，保障应急需求。</w:t>
      </w:r>
    </w:p>
    <w:p w14:paraId="1B0D72DB">
      <w:pPr>
        <w:pStyle w:val="8"/>
        <w:rPr>
          <w:rFonts w:hint="eastAsia"/>
          <w:lang w:val="en-US" w:eastAsia="zh-CN"/>
        </w:rPr>
      </w:pPr>
    </w:p>
    <w:p w14:paraId="466C3E62">
      <w:pPr>
        <w:rPr>
          <w:rFonts w:hint="eastAsia"/>
          <w:lang w:val="en-US" w:eastAsia="zh-CN"/>
        </w:rPr>
      </w:pPr>
    </w:p>
    <w:p w14:paraId="6655B1FA">
      <w:pPr>
        <w:pStyle w:val="8"/>
        <w:rPr>
          <w:rFonts w:hint="eastAsia"/>
          <w:lang w:val="en-US" w:eastAsia="zh-CN"/>
        </w:rPr>
      </w:pPr>
    </w:p>
    <w:p w14:paraId="16EDFC4E">
      <w:pPr>
        <w:rPr>
          <w:rFonts w:hint="eastAsia"/>
          <w:lang w:val="en-US" w:eastAsia="zh-CN"/>
        </w:rPr>
      </w:pPr>
    </w:p>
    <w:p w14:paraId="6CE23476">
      <w:pPr>
        <w:pStyle w:val="8"/>
        <w:rPr>
          <w:rFonts w:hint="eastAsia"/>
          <w:lang w:val="en-US" w:eastAsia="zh-CN"/>
        </w:rPr>
      </w:pPr>
    </w:p>
    <w:p w14:paraId="7FD1BF78">
      <w:pPr>
        <w:rPr>
          <w:rFonts w:hint="eastAsia"/>
          <w:lang w:val="en-US" w:eastAsia="zh-CN"/>
        </w:rPr>
      </w:pPr>
    </w:p>
    <w:p w14:paraId="4EA982D8">
      <w:pPr>
        <w:pStyle w:val="8"/>
        <w:rPr>
          <w:rFonts w:hint="eastAsia"/>
          <w:lang w:val="en-US" w:eastAsia="zh-CN"/>
        </w:rPr>
      </w:pPr>
    </w:p>
    <w:p w14:paraId="6921FECF">
      <w:pPr>
        <w:rPr>
          <w:rFonts w:hint="eastAsia"/>
          <w:lang w:val="en-US" w:eastAsia="zh-CN"/>
        </w:rPr>
      </w:pPr>
    </w:p>
    <w:p w14:paraId="33D4FA8C">
      <w:pPr>
        <w:pStyle w:val="8"/>
        <w:rPr>
          <w:rFonts w:hint="eastAsia"/>
          <w:lang w:val="en-US" w:eastAsia="zh-CN"/>
        </w:rPr>
      </w:pPr>
    </w:p>
    <w:p w14:paraId="57DB1641">
      <w:pPr>
        <w:rPr>
          <w:rFonts w:hint="eastAsia"/>
          <w:lang w:val="en-US" w:eastAsia="zh-CN"/>
        </w:rPr>
      </w:pPr>
    </w:p>
    <w:p w14:paraId="35630954">
      <w:pPr>
        <w:pStyle w:val="8"/>
        <w:rPr>
          <w:rFonts w:hint="eastAsia"/>
          <w:lang w:val="en-US" w:eastAsia="zh-CN"/>
        </w:rPr>
      </w:pPr>
    </w:p>
    <w:p w14:paraId="77487F94">
      <w:pPr>
        <w:rPr>
          <w:rFonts w:hint="eastAsia"/>
          <w:lang w:val="en-US" w:eastAsia="zh-CN"/>
        </w:rPr>
      </w:pPr>
    </w:p>
    <w:p w14:paraId="4D7872C3">
      <w:pPr>
        <w:pStyle w:val="8"/>
        <w:rPr>
          <w:rFonts w:hint="eastAsia"/>
          <w:lang w:val="en-US" w:eastAsia="zh-CN"/>
        </w:rPr>
      </w:pPr>
    </w:p>
    <w:p w14:paraId="03A09AC9">
      <w:pPr>
        <w:rPr>
          <w:rFonts w:hint="eastAsia"/>
          <w:lang w:val="en-US" w:eastAsia="zh-CN"/>
        </w:rPr>
      </w:pPr>
    </w:p>
    <w:p w14:paraId="0C744859">
      <w:pPr>
        <w:pStyle w:val="8"/>
        <w:rPr>
          <w:rFonts w:hint="eastAsia"/>
          <w:lang w:val="en-US" w:eastAsia="zh-CN"/>
        </w:rPr>
      </w:pPr>
    </w:p>
    <w:p w14:paraId="6E1F719C">
      <w:pPr>
        <w:rPr>
          <w:rFonts w:hint="eastAsia"/>
          <w:lang w:val="en-US" w:eastAsia="zh-CN"/>
        </w:rPr>
      </w:pPr>
    </w:p>
    <w:p w14:paraId="66F4300B">
      <w:pPr>
        <w:pStyle w:val="8"/>
        <w:rPr>
          <w:rFonts w:hint="eastAsia"/>
          <w:lang w:val="en-US" w:eastAsia="zh-CN"/>
        </w:rPr>
      </w:pPr>
    </w:p>
    <w:p w14:paraId="3AEC1C5B">
      <w:pPr>
        <w:rPr>
          <w:rFonts w:hint="eastAsia"/>
          <w:lang w:val="en-US" w:eastAsia="zh-CN"/>
        </w:rPr>
      </w:pPr>
    </w:p>
    <w:p w14:paraId="4748A0FC">
      <w:pPr>
        <w:pStyle w:val="8"/>
        <w:rPr>
          <w:rFonts w:hint="eastAsia"/>
          <w:lang w:val="en-US" w:eastAsia="zh-CN"/>
        </w:rPr>
      </w:pPr>
    </w:p>
    <w:p w14:paraId="72D7D58F">
      <w:pPr>
        <w:rPr>
          <w:rFonts w:hint="eastAsia"/>
          <w:lang w:val="en-US" w:eastAsia="zh-CN"/>
        </w:rPr>
      </w:pPr>
    </w:p>
    <w:p w14:paraId="790A44DC">
      <w:pPr>
        <w:pStyle w:val="8"/>
        <w:rPr>
          <w:rFonts w:hint="eastAsia"/>
          <w:lang w:val="en-US" w:eastAsia="zh-CN"/>
        </w:rPr>
      </w:pPr>
    </w:p>
    <w:p w14:paraId="69624C97">
      <w:pPr>
        <w:rPr>
          <w:rFonts w:hint="eastAsia"/>
          <w:lang w:val="en-US" w:eastAsia="zh-CN"/>
        </w:rPr>
      </w:pPr>
    </w:p>
    <w:p w14:paraId="702B064B">
      <w:pPr>
        <w:pStyle w:val="8"/>
        <w:rPr>
          <w:rFonts w:hint="eastAsia"/>
          <w:lang w:val="en-US" w:eastAsia="zh-CN"/>
        </w:rPr>
      </w:pPr>
    </w:p>
    <w:p w14:paraId="656D94BD">
      <w:pPr>
        <w:rPr>
          <w:rFonts w:hint="eastAsia"/>
          <w:lang w:val="en-US" w:eastAsia="zh-CN"/>
        </w:rPr>
      </w:pPr>
    </w:p>
    <w:p w14:paraId="7D5C7269">
      <w:pPr>
        <w:pStyle w:val="8"/>
        <w:rPr>
          <w:rFonts w:hint="eastAsia"/>
          <w:lang w:val="en-US" w:eastAsia="zh-CN"/>
        </w:rPr>
      </w:pPr>
    </w:p>
    <w:p w14:paraId="6B86121C">
      <w:pPr>
        <w:rPr>
          <w:rFonts w:hint="eastAsia"/>
          <w:lang w:val="en-US" w:eastAsia="zh-CN"/>
        </w:rPr>
      </w:pPr>
    </w:p>
    <w:p w14:paraId="5C5FC789">
      <w:pPr>
        <w:pStyle w:val="8"/>
        <w:rPr>
          <w:rFonts w:hint="eastAsia"/>
          <w:lang w:val="en-US" w:eastAsia="zh-CN"/>
        </w:rPr>
      </w:pPr>
    </w:p>
    <w:p w14:paraId="2CE6DC5F">
      <w:pPr>
        <w:keepNext w:val="0"/>
        <w:keepLines w:val="0"/>
        <w:pageBreakBefore w:val="0"/>
        <w:widowControl w:val="0"/>
        <w:kinsoku/>
        <w:wordWrap/>
        <w:overflowPunct/>
        <w:topLinePunct w:val="0"/>
        <w:autoSpaceDE/>
        <w:autoSpaceDN/>
        <w:bidi w:val="0"/>
        <w:adjustRightInd/>
        <w:spacing w:line="440" w:lineRule="exact"/>
        <w:ind w:left="-68" w:leftChars="-171" w:hanging="291" w:hangingChars="81"/>
        <w:jc w:val="center"/>
        <w:textAlignment w:val="auto"/>
        <w:rPr>
          <w:rFonts w:hint="eastAsia" w:ascii="仿宋" w:hAnsi="仿宋" w:eastAsia="仿宋"/>
          <w:sz w:val="24"/>
          <w:lang w:val="en-US" w:eastAsia="zh-CN"/>
        </w:rPr>
      </w:pPr>
      <w:r>
        <w:rPr>
          <w:rFonts w:hint="eastAsia" w:ascii="宋体" w:hAnsi="宋体" w:eastAsia="仿宋"/>
          <w:b w:val="0"/>
          <w:bCs/>
          <w:sz w:val="36"/>
          <w:szCs w:val="36"/>
          <w:lang w:val="en-US" w:eastAsia="zh-CN"/>
        </w:rPr>
        <w:t>合同范本（仅供参考）</w:t>
      </w:r>
      <w:r>
        <w:rPr>
          <w:rFonts w:hint="eastAsia" w:ascii="仿宋" w:hAnsi="仿宋" w:eastAsia="仿宋"/>
          <w:sz w:val="24"/>
          <w:lang w:val="en-US" w:eastAsia="zh-CN"/>
        </w:rPr>
        <w:t xml:space="preserve">                                   </w:t>
      </w:r>
    </w:p>
    <w:p w14:paraId="4BD4F034">
      <w:pPr>
        <w:keepNext w:val="0"/>
        <w:keepLines w:val="0"/>
        <w:pageBreakBefore w:val="0"/>
        <w:widowControl w:val="0"/>
        <w:kinsoku/>
        <w:wordWrap/>
        <w:overflowPunct/>
        <w:topLinePunct w:val="0"/>
        <w:autoSpaceDE/>
        <w:autoSpaceDN/>
        <w:bidi w:val="0"/>
        <w:adjustRightInd/>
        <w:spacing w:line="440" w:lineRule="exact"/>
        <w:ind w:left="-165" w:leftChars="-171" w:hanging="194" w:hangingChars="81"/>
        <w:jc w:val="center"/>
        <w:textAlignment w:val="auto"/>
        <w:rPr>
          <w:rFonts w:hint="eastAsia" w:ascii="仿宋" w:hAnsi="仿宋" w:eastAsia="仿宋"/>
          <w:sz w:val="28"/>
          <w:szCs w:val="28"/>
          <w:lang w:val="en-US" w:eastAsia="zh-CN"/>
        </w:rPr>
      </w:pPr>
      <w:r>
        <w:rPr>
          <w:rFonts w:hint="eastAsia" w:ascii="仿宋" w:hAnsi="仿宋" w:eastAsia="仿宋"/>
          <w:sz w:val="24"/>
          <w:lang w:val="en-US" w:eastAsia="zh-CN"/>
        </w:rPr>
        <w:t xml:space="preserve">                                                </w:t>
      </w:r>
      <w:r>
        <w:rPr>
          <w:rFonts w:hint="eastAsia" w:ascii="仿宋" w:hAnsi="仿宋" w:eastAsia="仿宋"/>
          <w:sz w:val="28"/>
          <w:szCs w:val="28"/>
        </w:rPr>
        <w:t>合同编号：</w:t>
      </w:r>
      <w:r>
        <w:rPr>
          <w:rFonts w:hint="eastAsia" w:ascii="仿宋" w:hAnsi="仿宋" w:eastAsia="仿宋"/>
          <w:sz w:val="28"/>
          <w:szCs w:val="28"/>
          <w:lang w:val="en-US" w:eastAsia="zh-CN"/>
        </w:rPr>
        <w:t xml:space="preserve"> </w:t>
      </w:r>
    </w:p>
    <w:p w14:paraId="53ED6A0C">
      <w:pPr>
        <w:keepNext w:val="0"/>
        <w:keepLines w:val="0"/>
        <w:pageBreakBefore w:val="0"/>
        <w:widowControl w:val="0"/>
        <w:kinsoku/>
        <w:wordWrap/>
        <w:overflowPunct/>
        <w:topLinePunct w:val="0"/>
        <w:autoSpaceDE/>
        <w:autoSpaceDN/>
        <w:bidi w:val="0"/>
        <w:adjustRightInd/>
        <w:spacing w:line="440" w:lineRule="exact"/>
        <w:ind w:left="194" w:hanging="226" w:hangingChars="81"/>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签订时间：</w:t>
      </w:r>
      <w:r>
        <w:rPr>
          <w:rFonts w:hint="eastAsia" w:ascii="仿宋" w:hAnsi="仿宋" w:eastAsia="仿宋"/>
          <w:sz w:val="28"/>
          <w:szCs w:val="28"/>
          <w:lang w:val="en-US" w:eastAsia="zh-CN"/>
        </w:rPr>
        <w:t xml:space="preserve"> </w:t>
      </w:r>
    </w:p>
    <w:p w14:paraId="362F860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签订地点：</w:t>
      </w:r>
    </w:p>
    <w:p w14:paraId="03858AFF">
      <w:pPr>
        <w:overflowPunct w:val="0"/>
        <w:spacing w:line="460" w:lineRule="exact"/>
        <w:ind w:firstLine="560" w:firstLineChars="200"/>
        <w:rPr>
          <w:rFonts w:hint="eastAsia" w:ascii="仿宋" w:hAnsi="仿宋" w:eastAsia="仿宋" w:cs="仿宋"/>
          <w:bCs/>
          <w:color w:val="000000"/>
          <w:sz w:val="28"/>
          <w:szCs w:val="28"/>
          <w:highlight w:val="none"/>
        </w:rPr>
      </w:pPr>
    </w:p>
    <w:p w14:paraId="298C072E">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买方：</w:t>
      </w:r>
    </w:p>
    <w:p w14:paraId="4DE28964">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w:t>
      </w:r>
    </w:p>
    <w:p w14:paraId="55323500">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4740D975">
      <w:pPr>
        <w:overflowPunct w:val="0"/>
        <w:spacing w:line="460" w:lineRule="exact"/>
        <w:ind w:firstLine="560" w:firstLineChars="200"/>
        <w:rPr>
          <w:rFonts w:hint="eastAsia" w:ascii="仿宋" w:hAnsi="仿宋" w:eastAsia="仿宋" w:cs="仿宋"/>
          <w:bCs/>
          <w:color w:val="000000"/>
          <w:sz w:val="28"/>
          <w:szCs w:val="28"/>
          <w:highlight w:val="none"/>
        </w:rPr>
      </w:pPr>
    </w:p>
    <w:p w14:paraId="593A4008">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卖方：</w:t>
      </w:r>
      <w:bookmarkStart w:id="6" w:name="OLE_LINK3"/>
      <w:r>
        <w:rPr>
          <w:rFonts w:hint="eastAsia" w:ascii="仿宋" w:hAnsi="仿宋" w:eastAsia="仿宋" w:cs="仿宋"/>
          <w:bCs/>
          <w:color w:val="000000"/>
          <w:sz w:val="28"/>
          <w:szCs w:val="28"/>
          <w:highlight w:val="none"/>
          <w:lang w:val="en-US" w:eastAsia="zh-CN"/>
        </w:rPr>
        <w:t xml:space="preserve">  </w:t>
      </w:r>
      <w:bookmarkEnd w:id="6"/>
    </w:p>
    <w:p w14:paraId="1537F006">
      <w:pPr>
        <w:overflowPunct w:val="0"/>
        <w:spacing w:line="460" w:lineRule="exact"/>
        <w:ind w:firstLine="560" w:firstLineChars="20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法定代表人：</w:t>
      </w:r>
    </w:p>
    <w:p w14:paraId="2002F7BB">
      <w:pPr>
        <w:overflowPunct w:val="0"/>
        <w:spacing w:line="460" w:lineRule="exact"/>
        <w:ind w:firstLine="560" w:firstLineChars="20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地址</w:t>
      </w:r>
      <w:r>
        <w:rPr>
          <w:rFonts w:hint="eastAsia" w:ascii="仿宋" w:hAnsi="仿宋" w:eastAsia="仿宋" w:cs="仿宋"/>
          <w:bCs/>
          <w:color w:val="000000"/>
          <w:sz w:val="28"/>
          <w:szCs w:val="28"/>
          <w:highlight w:val="none"/>
        </w:rPr>
        <w:t>：</w:t>
      </w:r>
    </w:p>
    <w:p w14:paraId="28F272D1">
      <w:pPr>
        <w:overflowPunct w:val="0"/>
        <w:spacing w:line="460" w:lineRule="exact"/>
        <w:rPr>
          <w:rFonts w:hint="default" w:ascii="仿宋" w:hAnsi="仿宋" w:eastAsia="仿宋" w:cs="仿宋"/>
          <w:bCs/>
          <w:color w:val="000000"/>
          <w:sz w:val="28"/>
          <w:szCs w:val="28"/>
          <w:highlight w:val="none"/>
          <w:lang w:val="en-US"/>
        </w:rPr>
      </w:pPr>
    </w:p>
    <w:p w14:paraId="73101A7A">
      <w:pPr>
        <w:keepNext w:val="0"/>
        <w:keepLines w:val="0"/>
        <w:pageBreakBefore w:val="0"/>
        <w:widowControl w:val="0"/>
        <w:kinsoku/>
        <w:wordWrap/>
        <w:overflowPunct/>
        <w:topLinePunct w:val="0"/>
        <w:autoSpaceDE/>
        <w:autoSpaceDN/>
        <w:bidi w:val="0"/>
        <w:adjustRightIn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根据《中华人民共和国民法典》等法律法规的规定，买卖双方本着平等互利、诚实</w:t>
      </w:r>
      <w:r>
        <w:rPr>
          <w:rFonts w:hint="eastAsia" w:ascii="仿宋" w:hAnsi="仿宋" w:eastAsia="仿宋"/>
          <w:sz w:val="28"/>
          <w:szCs w:val="28"/>
          <w:lang w:val="en-US" w:eastAsia="zh-CN"/>
        </w:rPr>
        <w:t>守信</w:t>
      </w:r>
      <w:r>
        <w:rPr>
          <w:rFonts w:hint="eastAsia" w:ascii="仿宋" w:hAnsi="仿宋" w:eastAsia="仿宋"/>
          <w:sz w:val="28"/>
          <w:szCs w:val="28"/>
        </w:rPr>
        <w:t>的原则，就</w:t>
      </w:r>
      <w:r>
        <w:rPr>
          <w:rFonts w:hint="eastAsia" w:ascii="仿宋" w:hAnsi="仿宋" w:eastAsia="仿宋"/>
          <w:sz w:val="28"/>
          <w:szCs w:val="28"/>
          <w:lang w:val="en-US" w:eastAsia="zh-CN"/>
        </w:rPr>
        <w:t>AED（自动体外除颤仪）买卖</w:t>
      </w:r>
      <w:r>
        <w:rPr>
          <w:rFonts w:hint="eastAsia" w:ascii="仿宋" w:hAnsi="仿宋" w:eastAsia="仿宋"/>
          <w:sz w:val="28"/>
          <w:szCs w:val="28"/>
        </w:rPr>
        <w:t>事宜，</w:t>
      </w:r>
      <w:r>
        <w:rPr>
          <w:rFonts w:hint="eastAsia" w:ascii="仿宋" w:hAnsi="仿宋" w:eastAsia="仿宋"/>
          <w:color w:val="auto"/>
          <w:sz w:val="28"/>
          <w:szCs w:val="28"/>
          <w:highlight w:val="none"/>
          <w:lang w:val="en-US" w:eastAsia="zh-CN"/>
        </w:rPr>
        <w:t>根据万基控股集团有限公司定标单（编号：******）</w:t>
      </w:r>
      <w:r>
        <w:rPr>
          <w:rFonts w:hint="eastAsia" w:ascii="仿宋" w:hAnsi="仿宋" w:eastAsia="仿宋"/>
          <w:sz w:val="28"/>
          <w:szCs w:val="28"/>
          <w:lang w:val="en-US" w:eastAsia="zh-CN"/>
        </w:rPr>
        <w:t>，</w:t>
      </w:r>
      <w:r>
        <w:rPr>
          <w:rFonts w:hint="eastAsia" w:ascii="仿宋" w:hAnsi="仿宋" w:eastAsia="仿宋"/>
          <w:sz w:val="28"/>
          <w:szCs w:val="28"/>
        </w:rPr>
        <w:t>达成如下协议：</w:t>
      </w:r>
    </w:p>
    <w:p w14:paraId="00FAF4E3">
      <w:pPr>
        <w:keepNext w:val="0"/>
        <w:keepLines w:val="0"/>
        <w:pageBreakBefore w:val="0"/>
        <w:widowControl w:val="0"/>
        <w:kinsoku/>
        <w:wordWrap/>
        <w:overflowPunct/>
        <w:topLinePunct w:val="0"/>
        <w:autoSpaceDE/>
        <w:autoSpaceDN/>
        <w:bidi w:val="0"/>
        <w:adjustRightInd/>
        <w:snapToGrid w:val="0"/>
        <w:spacing w:line="440" w:lineRule="exact"/>
        <w:ind w:firstLine="632" w:firstLineChars="225"/>
        <w:textAlignment w:val="auto"/>
        <w:rPr>
          <w:rFonts w:hint="eastAsia" w:ascii="仿宋" w:hAnsi="仿宋" w:eastAsia="仿宋" w:cs="Arial"/>
          <w:b/>
          <w:bCs/>
          <w:spacing w:val="-20"/>
          <w:sz w:val="28"/>
          <w:szCs w:val="28"/>
        </w:rPr>
      </w:pPr>
      <w:r>
        <w:rPr>
          <w:rFonts w:hint="eastAsia" w:ascii="仿宋_GB2312" w:hAnsi="宋体" w:eastAsia="仿宋_GB2312"/>
          <w:b/>
          <w:bCs/>
          <w:color w:val="auto"/>
          <w:sz w:val="28"/>
          <w:szCs w:val="28"/>
          <w:lang w:val="en-US" w:eastAsia="zh-CN"/>
        </w:rPr>
        <w:t xml:space="preserve"> 第一条</w:t>
      </w:r>
      <w:r>
        <w:rPr>
          <w:rFonts w:hint="eastAsia" w:ascii="仿宋" w:hAnsi="仿宋" w:eastAsia="仿宋" w:cs="Arial"/>
          <w:b/>
          <w:bCs/>
          <w:spacing w:val="-20"/>
          <w:sz w:val="28"/>
          <w:szCs w:val="28"/>
        </w:rPr>
        <w:t>、</w:t>
      </w:r>
      <w:bookmarkStart w:id="7" w:name="OLE_LINK9"/>
      <w:r>
        <w:rPr>
          <w:rFonts w:hint="eastAsia" w:ascii="仿宋" w:hAnsi="仿宋" w:eastAsia="仿宋" w:cs="Times New Roman"/>
          <w:b/>
          <w:bCs/>
          <w:sz w:val="28"/>
          <w:szCs w:val="28"/>
        </w:rPr>
        <w:t>产品</w:t>
      </w:r>
      <w:r>
        <w:rPr>
          <w:rFonts w:hint="eastAsia" w:ascii="仿宋" w:hAnsi="仿宋" w:eastAsia="仿宋" w:cs="Arial"/>
          <w:b/>
          <w:bCs/>
          <w:spacing w:val="-20"/>
          <w:sz w:val="28"/>
          <w:szCs w:val="28"/>
        </w:rPr>
        <w:t>名称、型号、数量、价格、金额</w:t>
      </w:r>
      <w:bookmarkEnd w:id="7"/>
      <w:r>
        <w:rPr>
          <w:rFonts w:hint="eastAsia" w:ascii="仿宋" w:hAnsi="仿宋" w:eastAsia="仿宋" w:cs="Arial"/>
          <w:b/>
          <w:bCs/>
          <w:spacing w:val="-20"/>
          <w:sz w:val="28"/>
          <w:szCs w:val="28"/>
        </w:rPr>
        <w:t>、供货时间</w:t>
      </w:r>
    </w:p>
    <w:tbl>
      <w:tblPr>
        <w:tblStyle w:val="9"/>
        <w:tblW w:w="4997" w:type="pct"/>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068"/>
        <w:gridCol w:w="2218"/>
        <w:gridCol w:w="744"/>
        <w:gridCol w:w="744"/>
        <w:gridCol w:w="1458"/>
        <w:gridCol w:w="1525"/>
        <w:gridCol w:w="760"/>
      </w:tblGrid>
      <w:tr w14:paraId="20120A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8" w:space="0"/>
              <w:left w:val="single" w:color="auto" w:sz="8" w:space="0"/>
              <w:bottom w:val="single" w:color="auto" w:sz="6" w:space="0"/>
              <w:right w:val="single" w:color="auto" w:sz="6" w:space="0"/>
            </w:tcBorders>
            <w:noWrap w:val="0"/>
            <w:vAlign w:val="center"/>
          </w:tcPr>
          <w:p w14:paraId="6324D5D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产品名称</w:t>
            </w:r>
          </w:p>
        </w:tc>
        <w:tc>
          <w:tcPr>
            <w:tcW w:w="1302" w:type="pct"/>
            <w:tcBorders>
              <w:top w:val="single" w:color="auto" w:sz="8" w:space="0"/>
              <w:left w:val="single" w:color="auto" w:sz="6" w:space="0"/>
              <w:bottom w:val="single" w:color="auto" w:sz="4" w:space="0"/>
              <w:right w:val="single" w:color="auto" w:sz="6" w:space="0"/>
            </w:tcBorders>
            <w:noWrap w:val="0"/>
            <w:vAlign w:val="center"/>
          </w:tcPr>
          <w:p w14:paraId="19E3528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规格型号</w:t>
            </w:r>
          </w:p>
        </w:tc>
        <w:tc>
          <w:tcPr>
            <w:tcW w:w="437" w:type="pct"/>
            <w:tcBorders>
              <w:top w:val="single" w:color="auto" w:sz="8" w:space="0"/>
              <w:left w:val="single" w:color="auto" w:sz="4" w:space="0"/>
              <w:bottom w:val="single" w:color="auto" w:sz="6" w:space="0"/>
              <w:right w:val="single" w:color="auto" w:sz="6" w:space="0"/>
            </w:tcBorders>
            <w:noWrap w:val="0"/>
            <w:vAlign w:val="center"/>
          </w:tcPr>
          <w:p w14:paraId="770E262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单位</w:t>
            </w:r>
          </w:p>
        </w:tc>
        <w:tc>
          <w:tcPr>
            <w:tcW w:w="437" w:type="pct"/>
            <w:tcBorders>
              <w:top w:val="single" w:color="auto" w:sz="8" w:space="0"/>
              <w:left w:val="single" w:color="auto" w:sz="6" w:space="0"/>
              <w:bottom w:val="single" w:color="auto" w:sz="6" w:space="0"/>
              <w:right w:val="single" w:color="auto" w:sz="6" w:space="0"/>
            </w:tcBorders>
            <w:noWrap w:val="0"/>
            <w:vAlign w:val="center"/>
          </w:tcPr>
          <w:p w14:paraId="03D90B7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数量</w:t>
            </w:r>
          </w:p>
        </w:tc>
        <w:tc>
          <w:tcPr>
            <w:tcW w:w="856" w:type="pct"/>
            <w:tcBorders>
              <w:top w:val="single" w:color="auto" w:sz="8" w:space="0"/>
              <w:left w:val="single" w:color="auto" w:sz="6" w:space="0"/>
              <w:bottom w:val="single" w:color="auto" w:sz="6" w:space="0"/>
              <w:right w:val="single" w:color="auto" w:sz="6" w:space="0"/>
            </w:tcBorders>
            <w:noWrap w:val="0"/>
            <w:vAlign w:val="center"/>
          </w:tcPr>
          <w:p w14:paraId="21B2EBA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单价(元/</w:t>
            </w:r>
            <w:r>
              <w:rPr>
                <w:rFonts w:hint="eastAsia" w:ascii="仿宋" w:hAnsi="仿宋" w:eastAsia="仿宋" w:cs="仿宋"/>
                <w:bCs/>
                <w:color w:val="auto"/>
                <w:spacing w:val="-20"/>
                <w:sz w:val="28"/>
                <w:szCs w:val="28"/>
                <w:highlight w:val="none"/>
                <w:lang w:val="en-US" w:eastAsia="zh-CN"/>
              </w:rPr>
              <w:t>**</w:t>
            </w:r>
            <w:r>
              <w:rPr>
                <w:rFonts w:hint="eastAsia" w:ascii="仿宋" w:hAnsi="仿宋" w:eastAsia="仿宋" w:cs="仿宋"/>
                <w:bCs/>
                <w:color w:val="auto"/>
                <w:spacing w:val="-20"/>
                <w:sz w:val="28"/>
                <w:szCs w:val="28"/>
                <w:highlight w:val="none"/>
              </w:rPr>
              <w:t>)</w:t>
            </w:r>
          </w:p>
        </w:tc>
        <w:tc>
          <w:tcPr>
            <w:tcW w:w="895" w:type="pct"/>
            <w:tcBorders>
              <w:top w:val="single" w:color="auto" w:sz="8" w:space="0"/>
              <w:left w:val="single" w:color="auto" w:sz="6" w:space="0"/>
              <w:bottom w:val="single" w:color="auto" w:sz="6" w:space="0"/>
              <w:right w:val="single" w:color="auto" w:sz="8" w:space="0"/>
            </w:tcBorders>
            <w:noWrap w:val="0"/>
            <w:vAlign w:val="center"/>
          </w:tcPr>
          <w:p w14:paraId="396CC7E6">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pacing w:val="-20"/>
                <w:sz w:val="28"/>
                <w:szCs w:val="28"/>
              </w:rPr>
            </w:pPr>
            <w:r>
              <w:rPr>
                <w:rFonts w:hint="eastAsia" w:ascii="仿宋" w:hAnsi="仿宋" w:eastAsia="仿宋" w:cs="仿宋"/>
                <w:bCs/>
                <w:color w:val="auto"/>
                <w:spacing w:val="-20"/>
                <w:sz w:val="28"/>
                <w:szCs w:val="28"/>
                <w:highlight w:val="none"/>
              </w:rPr>
              <w:t>总价（元）</w:t>
            </w:r>
          </w:p>
        </w:tc>
        <w:tc>
          <w:tcPr>
            <w:tcW w:w="442" w:type="pct"/>
            <w:tcBorders>
              <w:top w:val="single" w:color="auto" w:sz="8" w:space="0"/>
              <w:left w:val="single" w:color="auto" w:sz="6" w:space="0"/>
              <w:bottom w:val="single" w:color="auto" w:sz="6" w:space="0"/>
              <w:right w:val="single" w:color="auto" w:sz="8" w:space="0"/>
            </w:tcBorders>
            <w:noWrap w:val="0"/>
            <w:vAlign w:val="center"/>
          </w:tcPr>
          <w:p w14:paraId="3477C7F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color w:val="auto"/>
                <w:spacing w:val="-20"/>
                <w:sz w:val="28"/>
                <w:szCs w:val="28"/>
                <w:highlight w:val="none"/>
                <w:lang w:val="en-US" w:eastAsia="zh-CN"/>
              </w:rPr>
            </w:pPr>
            <w:r>
              <w:rPr>
                <w:rFonts w:hint="eastAsia" w:ascii="仿宋" w:hAnsi="仿宋" w:eastAsia="仿宋" w:cs="仿宋"/>
                <w:bCs/>
                <w:color w:val="auto"/>
                <w:spacing w:val="-20"/>
                <w:sz w:val="28"/>
                <w:szCs w:val="28"/>
                <w:highlight w:val="none"/>
                <w:lang w:val="en-US" w:eastAsia="zh-CN"/>
              </w:rPr>
              <w:t>品牌</w:t>
            </w:r>
          </w:p>
        </w:tc>
      </w:tr>
      <w:tr w14:paraId="348CCD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27" w:type="pct"/>
            <w:tcBorders>
              <w:top w:val="single" w:color="auto" w:sz="6" w:space="0"/>
              <w:left w:val="single" w:color="auto" w:sz="8" w:space="0"/>
              <w:bottom w:val="single" w:color="auto" w:sz="6" w:space="0"/>
              <w:right w:val="single" w:color="auto" w:sz="6" w:space="0"/>
            </w:tcBorders>
            <w:noWrap w:val="0"/>
            <w:vAlign w:val="center"/>
          </w:tcPr>
          <w:p w14:paraId="059AB879">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r>
              <w:rPr>
                <w:rFonts w:hint="eastAsia" w:ascii="仿宋" w:hAnsi="仿宋" w:eastAsia="仿宋"/>
                <w:sz w:val="28"/>
                <w:szCs w:val="28"/>
                <w:lang w:val="en-US" w:eastAsia="zh-CN"/>
              </w:rPr>
              <w:t>AED（自动体外除颤仪）</w:t>
            </w:r>
          </w:p>
        </w:tc>
        <w:tc>
          <w:tcPr>
            <w:tcW w:w="1302" w:type="pct"/>
            <w:tcBorders>
              <w:top w:val="single" w:color="auto" w:sz="4" w:space="0"/>
              <w:left w:val="single" w:color="auto" w:sz="6" w:space="0"/>
              <w:bottom w:val="single" w:color="auto" w:sz="6" w:space="0"/>
              <w:right w:val="single" w:color="auto" w:sz="6" w:space="0"/>
            </w:tcBorders>
            <w:noWrap w:val="0"/>
            <w:vAlign w:val="center"/>
          </w:tcPr>
          <w:p w14:paraId="74E9412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详见第二条</w:t>
            </w:r>
          </w:p>
        </w:tc>
        <w:tc>
          <w:tcPr>
            <w:tcW w:w="437" w:type="pct"/>
            <w:tcBorders>
              <w:top w:val="single" w:color="auto" w:sz="6" w:space="0"/>
              <w:left w:val="single" w:color="auto" w:sz="4" w:space="0"/>
              <w:bottom w:val="single" w:color="auto" w:sz="6" w:space="0"/>
              <w:right w:val="single" w:color="auto" w:sz="6" w:space="0"/>
            </w:tcBorders>
            <w:noWrap w:val="0"/>
            <w:vAlign w:val="center"/>
          </w:tcPr>
          <w:p w14:paraId="535075D0">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台</w:t>
            </w:r>
          </w:p>
        </w:tc>
        <w:tc>
          <w:tcPr>
            <w:tcW w:w="437" w:type="pct"/>
            <w:tcBorders>
              <w:top w:val="single" w:color="auto" w:sz="6" w:space="0"/>
              <w:left w:val="single" w:color="auto" w:sz="6" w:space="0"/>
              <w:bottom w:val="single" w:color="auto" w:sz="6" w:space="0"/>
              <w:right w:val="single" w:color="auto" w:sz="6" w:space="0"/>
            </w:tcBorders>
            <w:noWrap w:val="0"/>
            <w:vAlign w:val="center"/>
          </w:tcPr>
          <w:p w14:paraId="4ABC7497">
            <w:pPr>
              <w:keepNext w:val="0"/>
              <w:keepLines w:val="0"/>
              <w:pageBreakBefore w:val="0"/>
              <w:widowControl w:val="0"/>
              <w:kinsoku/>
              <w:wordWrap/>
              <w:overflowPunct/>
              <w:topLinePunct w:val="0"/>
              <w:autoSpaceDE/>
              <w:autoSpaceDN/>
              <w:bidi w:val="0"/>
              <w:adjustRightInd/>
              <w:snapToGrid w:val="0"/>
              <w:spacing w:line="440" w:lineRule="exact"/>
              <w:ind w:firstLine="140" w:firstLineChars="50"/>
              <w:textAlignment w:val="auto"/>
              <w:rPr>
                <w:rFonts w:hint="default" w:ascii="仿宋" w:hAnsi="仿宋" w:eastAsia="仿宋" w:cs="仿宋"/>
                <w:bCs/>
                <w:sz w:val="28"/>
                <w:szCs w:val="28"/>
                <w:lang w:val="en-US" w:eastAsia="zh-CN"/>
              </w:rPr>
            </w:pPr>
            <w:r>
              <w:rPr>
                <w:rFonts w:hint="eastAsia" w:ascii="仿宋" w:hAnsi="仿宋" w:eastAsia="仿宋" w:cs="仿宋"/>
                <w:bCs/>
                <w:color w:val="auto"/>
                <w:sz w:val="28"/>
                <w:szCs w:val="28"/>
                <w:highlight w:val="none"/>
                <w:lang w:val="en-US" w:eastAsia="zh-CN"/>
              </w:rPr>
              <w:t>18</w:t>
            </w:r>
          </w:p>
        </w:tc>
        <w:tc>
          <w:tcPr>
            <w:tcW w:w="856" w:type="pct"/>
            <w:tcBorders>
              <w:top w:val="single" w:color="auto" w:sz="6" w:space="0"/>
              <w:left w:val="single" w:color="auto" w:sz="6" w:space="0"/>
              <w:bottom w:val="single" w:color="auto" w:sz="6" w:space="0"/>
              <w:right w:val="single" w:color="auto" w:sz="6" w:space="0"/>
            </w:tcBorders>
            <w:noWrap w:val="0"/>
            <w:vAlign w:val="center"/>
          </w:tcPr>
          <w:p w14:paraId="795B428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895" w:type="pct"/>
            <w:tcBorders>
              <w:top w:val="single" w:color="auto" w:sz="6" w:space="0"/>
              <w:left w:val="single" w:color="auto" w:sz="6" w:space="0"/>
              <w:bottom w:val="single" w:color="auto" w:sz="6" w:space="0"/>
              <w:right w:val="single" w:color="auto" w:sz="8" w:space="0"/>
            </w:tcBorders>
            <w:noWrap w:val="0"/>
            <w:vAlign w:val="center"/>
          </w:tcPr>
          <w:p w14:paraId="4B94223D">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c>
          <w:tcPr>
            <w:tcW w:w="442" w:type="pct"/>
            <w:tcBorders>
              <w:top w:val="single" w:color="auto" w:sz="6" w:space="0"/>
              <w:left w:val="single" w:color="auto" w:sz="6" w:space="0"/>
              <w:bottom w:val="single" w:color="auto" w:sz="6" w:space="0"/>
              <w:right w:val="single" w:color="auto" w:sz="8" w:space="0"/>
            </w:tcBorders>
            <w:noWrap w:val="0"/>
            <w:vAlign w:val="center"/>
          </w:tcPr>
          <w:p w14:paraId="33148DD2">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仿宋" w:hAnsi="仿宋" w:eastAsia="仿宋" w:cs="仿宋"/>
                <w:bCs/>
                <w:sz w:val="28"/>
                <w:szCs w:val="28"/>
                <w:lang w:val="en-US" w:eastAsia="zh-CN"/>
              </w:rPr>
            </w:pPr>
          </w:p>
        </w:tc>
      </w:tr>
      <w:tr w14:paraId="00137F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26CD8F6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不含税金额</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税率：</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税额：</w:t>
            </w:r>
            <w:r>
              <w:rPr>
                <w:rFonts w:hint="eastAsia" w:ascii="仿宋" w:hAnsi="仿宋" w:eastAsia="仿宋" w:cs="仿宋"/>
                <w:bCs/>
                <w:color w:val="auto"/>
                <w:sz w:val="28"/>
                <w:szCs w:val="28"/>
                <w:highlight w:val="none"/>
                <w:lang w:val="en-US" w:eastAsia="zh-CN"/>
              </w:rPr>
              <w:t xml:space="preserve"> </w:t>
            </w:r>
          </w:p>
        </w:tc>
      </w:tr>
      <w:tr w14:paraId="1EC83F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20701C2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合计（大写）：</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 xml:space="preserve"> </w:t>
            </w:r>
          </w:p>
        </w:tc>
      </w:tr>
      <w:tr w14:paraId="6BFF445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2D32631F">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合同价格含合同产品费、设计费、技术资料费、技术服务费、安装费、调试费、检测检验费、培训费、设备的包装费、装车费、卸车费、运输费、运输保险费、各种杂费、税费及与本合同有关的所有费用。</w:t>
            </w:r>
          </w:p>
          <w:p w14:paraId="60B1B6AB">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如遇国家政策对税率做出调整，合同不含税金额不变，税额应根据税率变化做相应调整，合同总额应做相应调整。</w:t>
            </w:r>
          </w:p>
        </w:tc>
      </w:tr>
      <w:tr w14:paraId="2E1CBD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auto" w:sz="6" w:space="0"/>
              <w:left w:val="single" w:color="auto" w:sz="8" w:space="0"/>
              <w:bottom w:val="single" w:color="auto" w:sz="6" w:space="0"/>
              <w:right w:val="single" w:color="auto" w:sz="8" w:space="0"/>
            </w:tcBorders>
            <w:noWrap w:val="0"/>
            <w:vAlign w:val="center"/>
          </w:tcPr>
          <w:p w14:paraId="18C9B4F9">
            <w:pPr>
              <w:keepNext w:val="0"/>
              <w:keepLines w:val="0"/>
              <w:pageBreakBefore w:val="0"/>
              <w:widowControl w:val="0"/>
              <w:kinsoku/>
              <w:wordWrap/>
              <w:overflowPunct/>
              <w:topLinePunct w:val="0"/>
              <w:autoSpaceDE/>
              <w:autoSpaceDN/>
              <w:bidi w:val="0"/>
              <w:adjustRightInd/>
              <w:snapToGrid w:val="0"/>
              <w:spacing w:line="440" w:lineRule="exact"/>
              <w:ind w:left="560" w:leftChars="0" w:hanging="560" w:hangingChars="200"/>
              <w:jc w:val="lef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供货时间：</w:t>
            </w:r>
            <w:r>
              <w:rPr>
                <w:rFonts w:hint="eastAsia" w:ascii="仿宋" w:hAnsi="仿宋" w:eastAsia="仿宋" w:cs="仿宋"/>
                <w:bCs/>
                <w:color w:val="auto"/>
                <w:sz w:val="28"/>
                <w:szCs w:val="28"/>
                <w:highlight w:val="none"/>
                <w:lang w:val="en-US" w:eastAsia="zh-CN"/>
              </w:rPr>
              <w:t xml:space="preserve">合同签订后15个工作日到货并安装调试完毕。 </w:t>
            </w:r>
          </w:p>
        </w:tc>
      </w:tr>
    </w:tbl>
    <w:p w14:paraId="11DCCD8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cs="仿宋"/>
          <w:b/>
          <w:bCs w:val="0"/>
          <w:sz w:val="28"/>
          <w:szCs w:val="28"/>
        </w:rPr>
      </w:pPr>
      <w:r>
        <w:rPr>
          <w:rFonts w:hint="eastAsia" w:ascii="仿宋" w:hAnsi="仿宋" w:eastAsia="仿宋" w:cs="仿宋"/>
          <w:b/>
          <w:bCs w:val="0"/>
          <w:kern w:val="2"/>
          <w:sz w:val="28"/>
          <w:szCs w:val="28"/>
          <w:lang w:val="en-US" w:eastAsia="zh-CN" w:bidi="ar-SA"/>
        </w:rPr>
        <w:t>第二条、</w:t>
      </w:r>
      <w:r>
        <w:rPr>
          <w:rFonts w:hint="eastAsia" w:ascii="仿宋" w:hAnsi="仿宋" w:eastAsia="仿宋" w:cs="Times New Roman"/>
          <w:b/>
          <w:bCs w:val="0"/>
          <w:sz w:val="28"/>
          <w:szCs w:val="28"/>
        </w:rPr>
        <w:t>产品</w:t>
      </w:r>
      <w:r>
        <w:rPr>
          <w:rFonts w:hint="eastAsia" w:ascii="仿宋" w:hAnsi="仿宋" w:eastAsia="仿宋"/>
          <w:b/>
          <w:bCs w:val="0"/>
          <w:sz w:val="28"/>
          <w:szCs w:val="28"/>
        </w:rPr>
        <w:t>质量要求、技术标准</w:t>
      </w:r>
    </w:p>
    <w:p w14:paraId="73EFA08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Times New Roman"/>
          <w:b w:val="0"/>
          <w:bCs w:val="0"/>
          <w:color w:val="auto"/>
          <w:kern w:val="2"/>
          <w:sz w:val="28"/>
          <w:szCs w:val="28"/>
          <w:lang w:val="en-US" w:eastAsia="zh-CN" w:bidi="ar-SA"/>
        </w:rPr>
      </w:pPr>
      <w:r>
        <w:rPr>
          <w:rFonts w:hint="eastAsia" w:ascii="仿宋" w:hAnsi="仿宋" w:eastAsia="仿宋" w:cs="Times New Roman"/>
          <w:b w:val="0"/>
          <w:bCs w:val="0"/>
          <w:color w:val="auto"/>
          <w:kern w:val="2"/>
          <w:sz w:val="28"/>
          <w:szCs w:val="28"/>
          <w:lang w:val="en-US" w:eastAsia="zh-CN" w:bidi="ar-SA"/>
        </w:rPr>
        <w:t>1.按照合同中物资最新国家</w:t>
      </w:r>
      <w:r>
        <w:rPr>
          <w:rFonts w:hint="eastAsia" w:ascii="仿宋" w:hAnsi="仿宋" w:eastAsia="仿宋" w:cs="Times New Roman"/>
          <w:b w:val="0"/>
          <w:bCs w:val="0"/>
          <w:color w:val="auto"/>
          <w:kern w:val="2"/>
          <w:sz w:val="28"/>
          <w:szCs w:val="28"/>
          <w:u w:val="none"/>
          <w:lang w:val="en-US" w:eastAsia="zh-CN" w:bidi="ar-SA"/>
        </w:rPr>
        <w:t>《医用电气设备 第2-4部分：心脏除颤器的基本安全和基本性能专用要求》（GB 9706.204-2022）标</w:t>
      </w:r>
      <w:r>
        <w:rPr>
          <w:rFonts w:hint="eastAsia" w:ascii="仿宋" w:hAnsi="仿宋" w:eastAsia="仿宋" w:cs="Times New Roman"/>
          <w:b w:val="0"/>
          <w:bCs w:val="0"/>
          <w:color w:val="auto"/>
          <w:kern w:val="2"/>
          <w:sz w:val="28"/>
          <w:szCs w:val="28"/>
          <w:lang w:val="en-US" w:eastAsia="zh-CN" w:bidi="ar-SA"/>
        </w:rPr>
        <w:t>准要求以及买方提供的规格质量要求执行</w:t>
      </w:r>
      <w:r>
        <w:rPr>
          <w:rFonts w:hint="eastAsia" w:ascii="仿宋" w:hAnsi="仿宋" w:eastAsia="仿宋"/>
          <w:color w:val="auto"/>
          <w:sz w:val="28"/>
          <w:szCs w:val="28"/>
          <w:lang w:val="en-US" w:eastAsia="zh-CN"/>
        </w:rPr>
        <w:t>；若国家（行业）标准严于合同约定标准的，适用国家(行业）标准；若无技术标准或无采购标准的，卖方所供产品质量应与其提供的样品质量保持一致。</w:t>
      </w:r>
      <w:r>
        <w:rPr>
          <w:rFonts w:hint="eastAsia" w:ascii="仿宋" w:hAnsi="仿宋" w:eastAsia="仿宋" w:cs="Times New Roman"/>
          <w:b w:val="0"/>
          <w:bCs w:val="0"/>
          <w:color w:val="auto"/>
          <w:kern w:val="2"/>
          <w:sz w:val="28"/>
          <w:szCs w:val="28"/>
          <w:lang w:val="en-US" w:eastAsia="zh-CN" w:bidi="ar-SA"/>
        </w:rPr>
        <w:t>卖方应保证其提供的货物在各个方面符合合同规定的质量、规格和性能要求，满足买方使用；产品应附相应的合格证、说明书等文件。有特殊使用要求的，卖方有义务向买方说明或指导使用。</w:t>
      </w:r>
    </w:p>
    <w:p w14:paraId="04D049A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2、卖方发生材料配方变更、加工工艺变更、二级供应商变更、生产场地变更、供应商关键工艺过程变更及其他可能影响产品质量的变更的，应提前 90 日书面通知买方，且需通过相关检测、实验证明所供产品符合买方技术标准及质量要求后，向买方提交样品及相关验证报告，经买方书面同意后方可正式供货。若卖方未按前述约定履行的，一经发现，买方有权立即暂停采购或终止与卖方的合作关系，取消其供货资格，有权要求卖方支付合同总金额30%的违约金并赔偿因此给买方造成的全部损失。</w:t>
      </w:r>
    </w:p>
    <w:p w14:paraId="03E30737">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卖方所供产品不符合买方规定的质量标准及规格要求的，卖方应于接到买方质量异常反馈之日起3日内，向买方提交书面回复，并承担因该质量异常产生的全部损失。若卖方未按前述期限提交书面回复的，买方有权要求卖方按照质量异常产品总价值3‰-5‰的标准/次支付违约金。若卖方累计三次逾期未回复或连续两次出现同类质量问题的，买方有权立即暂停采购或终止与卖方的合作关系，取消其供货资格。</w:t>
      </w:r>
    </w:p>
    <w:p w14:paraId="40C826D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卖方存在弄虚作假、掺杂使假、以次充好、偷工减料、商业欺诈、隐瞒产品质量隐患、供应变质及假冒伪劣产品、放任不合格品流入买方、故意伪造或篡改质量记录及报告等不诚信行为，一经买方发现，买方有权立即暂停采购或终止与卖方的合作关系，取消其供货资格，且要求卖方退回买方就问题货物已支付的全部款项；除依法追究卖方因前述行为造成的全部损失赔偿责任外，买方还有权要求卖方支付违约金（计算标准为：当批次供货货值总额的5倍或合同总额的30%，二者取较高值），买方有权从卖方的保证金和买方应付货款中直接扣除违约金和赔偿损失金额；同时，买方有权将卖方认定为“不合格供应商”，并依据卖方已知悉并同意的管理制度对其予以清退，自清退之日起五年内，不再接受该卖方（含与该卖方为同一法定代表人或实际控制人的主体）的准入申请。</w:t>
      </w:r>
    </w:p>
    <w:p w14:paraId="7163F88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卖方存在前述任一违约行为的，买方有权立即暂停采购或终止与卖方的合作关系，取消其供货资格，并要求卖方配合买方开展相关调查工作；卖方应承担违约及损失赔偿责任，赔偿范围除因卖方违约导致的停产停线损失、不良产品相关损失等直接损失外，还包括由此产生的物料返工费、人工费、能耗费、运输费、商誉损失、安全事故损失，以及买方因下游客户投诉而支付的赔偿费用等。买方有权从卖方的保证金和买方应付货款中直接扣除违约金和赔偿损失金额。</w:t>
      </w:r>
    </w:p>
    <w:p w14:paraId="2AF45AE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第三条、产品包装</w:t>
      </w:r>
    </w:p>
    <w:p w14:paraId="392045DE">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1、卖方保证包装符合国标要求，适于产品运输和保存，应当满足装卸、运输安全要求。</w:t>
      </w:r>
    </w:p>
    <w:p w14:paraId="069154ED">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2、包装物属产品的组成部分由卖方提供且不作回收，费用含在合同总价内。</w:t>
      </w:r>
    </w:p>
    <w:p w14:paraId="1C5F1624">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四、质保期及质保责任</w:t>
      </w:r>
    </w:p>
    <w:p w14:paraId="3869B8DF">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质保期为货到买方仓库经买方实际领用之日起/个月（若生产厂家对产品的质保期规定大于/个月的，则卖方同意质保期顺延至生产厂家的质保期满），质保期内卖方对合同产品承担“三包”责任（包修、包换、包退），如造成损失的，同时应赔偿损失，更换后的产品重新计算质保期。</w:t>
      </w:r>
    </w:p>
    <w:p w14:paraId="6BB075D6">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default"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w:t>
      </w:r>
      <w:r>
        <w:rPr>
          <w:rFonts w:hint="default" w:ascii="仿宋" w:hAnsi="仿宋" w:eastAsia="仿宋"/>
          <w:color w:val="auto"/>
          <w:kern w:val="2"/>
          <w:sz w:val="28"/>
          <w:szCs w:val="28"/>
          <w:lang w:val="en-US" w:eastAsia="zh-CN" w:bidi="ar-SA"/>
        </w:rPr>
        <w:t>卖方应保证其供货的货物是全新的、未使用过的，采用的是最佳材料和第一流的工艺，并在各个方面符合合同规定的质量、规格和性能要求。卖方应保证其所供货物在质量保证期内运转良好。在质量保证期内，卖方应对货物的缺陷而造成的任何故障负责（包括易损件）。</w:t>
      </w:r>
    </w:p>
    <w:p w14:paraId="0AC5B88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五、交货地点及费用负担</w:t>
      </w:r>
    </w:p>
    <w:p w14:paraId="476B2628">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1、卖方按合同约定时间将全部货物运送至买方仓库，并交由买方收货联系人签收，卖方应当在送货前1个工作日与买方联系。</w:t>
      </w:r>
    </w:p>
    <w:p w14:paraId="7550369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2、运输、卸货、安装调试费用由卖方承担并已包含在合同总价内，货物交付经买方签收前的风险由卖方承担。</w:t>
      </w:r>
    </w:p>
    <w:p w14:paraId="6DE5FD81">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3、卖方运输车辆必须符合排放标准及买方环保管控要求，因车辆排放不达标给买方造成不良后果的，一切后果由卖方承担。</w:t>
      </w:r>
    </w:p>
    <w:p w14:paraId="13AFB42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kern w:val="2"/>
          <w:sz w:val="28"/>
          <w:szCs w:val="28"/>
          <w:lang w:val="en-US" w:eastAsia="zh-CN" w:bidi="ar-SA"/>
        </w:rPr>
      </w:pPr>
      <w:r>
        <w:rPr>
          <w:rFonts w:hint="eastAsia" w:ascii="仿宋" w:hAnsi="仿宋" w:eastAsia="仿宋"/>
          <w:color w:val="auto"/>
          <w:kern w:val="2"/>
          <w:sz w:val="28"/>
          <w:szCs w:val="28"/>
          <w:lang w:val="en-US" w:eastAsia="zh-CN" w:bidi="ar-SA"/>
        </w:rPr>
        <w:t>4、货物发出后，卖方应及时向买方提供发货明细、承运车辆、司机、在货源地拍摄车辆正面水印照片等信息，应配合买方查询并掌握运输车辆定位及运行轨迹。</w:t>
      </w:r>
    </w:p>
    <w:p w14:paraId="00E410E9">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六、验收标准及提出异议期限</w:t>
      </w:r>
    </w:p>
    <w:p w14:paraId="4F4F73D5">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Arial"/>
          <w:bCs/>
          <w:color w:val="auto"/>
          <w:sz w:val="28"/>
          <w:szCs w:val="28"/>
          <w:highlight w:val="none"/>
        </w:rPr>
      </w:pPr>
      <w:r>
        <w:rPr>
          <w:rFonts w:hint="eastAsia" w:ascii="仿宋" w:hAnsi="仿宋" w:eastAsia="仿宋"/>
          <w:color w:val="auto"/>
          <w:sz w:val="28"/>
          <w:szCs w:val="28"/>
          <w:highlight w:val="none"/>
        </w:rPr>
        <w:t>1、买方应当在实际收到货物后</w:t>
      </w:r>
      <w:r>
        <w:rPr>
          <w:rFonts w:hint="eastAsia" w:ascii="仿宋" w:hAnsi="仿宋" w:eastAsia="仿宋"/>
          <w:color w:val="auto"/>
          <w:sz w:val="28"/>
          <w:szCs w:val="28"/>
          <w:highlight w:val="none"/>
          <w:lang w:val="en-US" w:eastAsia="zh-CN"/>
        </w:rPr>
        <w:t>7个工作日内</w:t>
      </w:r>
      <w:r>
        <w:rPr>
          <w:rFonts w:hint="eastAsia" w:ascii="仿宋" w:hAnsi="仿宋" w:eastAsia="仿宋" w:cs="Arial"/>
          <w:bCs/>
          <w:color w:val="auto"/>
          <w:sz w:val="28"/>
          <w:szCs w:val="28"/>
          <w:highlight w:val="none"/>
        </w:rPr>
        <w:t>按本合同的第二条标准验收，</w:t>
      </w:r>
      <w:r>
        <w:rPr>
          <w:rFonts w:hint="eastAsia" w:ascii="仿宋" w:hAnsi="仿宋" w:eastAsia="仿宋"/>
          <w:sz w:val="28"/>
          <w:szCs w:val="28"/>
          <w:lang w:val="en-US" w:eastAsia="zh-CN"/>
        </w:rPr>
        <w:t>买方验收合格，货物入库，并不免除卖方日后经买方或第三方抽检不合格的责任。</w:t>
      </w:r>
    </w:p>
    <w:p w14:paraId="5AE2168B">
      <w:pPr>
        <w:keepNext w:val="0"/>
        <w:keepLines w:val="0"/>
        <w:pageBreakBefore w:val="0"/>
        <w:widowControl w:val="0"/>
        <w:numPr>
          <w:ilvl w:val="0"/>
          <w:numId w:val="0"/>
        </w:numPr>
        <w:kinsoku/>
        <w:wordWrap/>
        <w:overflowPunct/>
        <w:topLinePunct w:val="0"/>
        <w:autoSpaceDE/>
        <w:autoSpaceDN/>
        <w:bidi w:val="0"/>
        <w:adjustRightInd/>
        <w:spacing w:line="44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买方提出异议的期限为货到买方仓库至质保期满，以电话、书面形式或电子邮件向卖方提出。</w:t>
      </w:r>
    </w:p>
    <w:p w14:paraId="6EF16F80">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质保期内，若卖方接到买方就有关产品质量异议的通知后4小时内无书面答复</w:t>
      </w:r>
      <w:r>
        <w:rPr>
          <w:rFonts w:hint="eastAsia" w:ascii="仿宋" w:hAnsi="仿宋" w:eastAsia="仿宋"/>
          <w:color w:val="auto"/>
          <w:sz w:val="28"/>
          <w:szCs w:val="28"/>
          <w:highlight w:val="none"/>
          <w:lang w:eastAsia="zh-CN"/>
        </w:rPr>
        <w:t>或怠于处理的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除按合同第</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lang w:eastAsia="zh-CN"/>
        </w:rPr>
        <w:t>款承担质保责任外，还应向买方支付合同总金额</w:t>
      </w:r>
      <w:r>
        <w:rPr>
          <w:rFonts w:hint="eastAsia" w:ascii="仿宋" w:hAnsi="仿宋" w:eastAsia="仿宋"/>
          <w:color w:val="auto"/>
          <w:sz w:val="28"/>
          <w:szCs w:val="28"/>
          <w:highlight w:val="none"/>
          <w:lang w:val="en-US" w:eastAsia="zh-CN"/>
        </w:rPr>
        <w:t>20%的违约金，同时</w:t>
      </w:r>
      <w:r>
        <w:rPr>
          <w:rFonts w:hint="eastAsia" w:ascii="仿宋" w:hAnsi="仿宋" w:eastAsia="仿宋"/>
          <w:color w:val="auto"/>
          <w:sz w:val="28"/>
          <w:szCs w:val="28"/>
          <w:highlight w:val="none"/>
        </w:rPr>
        <w:t>买方有权自行或联系第三方处理，产生的费用由卖方全部承担。</w:t>
      </w:r>
    </w:p>
    <w:p w14:paraId="445856F2">
      <w:pPr>
        <w:keepNext w:val="0"/>
        <w:keepLines w:val="0"/>
        <w:pageBreakBefore w:val="0"/>
        <w:widowControl w:val="0"/>
        <w:numPr>
          <w:ilvl w:val="0"/>
          <w:numId w:val="0"/>
        </w:numPr>
        <w:kinsoku/>
        <w:wordWrap/>
        <w:overflowPunct/>
        <w:topLinePunct w:val="0"/>
        <w:autoSpaceDE/>
        <w:autoSpaceDN/>
        <w:bidi w:val="0"/>
        <w:adjustRightInd/>
        <w:spacing w:line="440" w:lineRule="exact"/>
        <w:ind w:firstLine="562" w:firstLineChars="200"/>
        <w:textAlignment w:val="auto"/>
        <w:rPr>
          <w:rFonts w:hint="eastAsia" w:ascii="仿宋" w:hAnsi="仿宋" w:eastAsia="仿宋"/>
          <w:b/>
          <w:bCs/>
          <w:color w:val="auto"/>
          <w:kern w:val="2"/>
          <w:sz w:val="28"/>
          <w:szCs w:val="28"/>
          <w:lang w:val="en-US" w:eastAsia="zh-CN" w:bidi="ar-SA"/>
        </w:rPr>
      </w:pPr>
      <w:r>
        <w:rPr>
          <w:rFonts w:hint="eastAsia" w:ascii="仿宋" w:hAnsi="仿宋" w:eastAsia="仿宋"/>
          <w:b/>
          <w:bCs/>
          <w:color w:val="auto"/>
          <w:kern w:val="2"/>
          <w:sz w:val="28"/>
          <w:szCs w:val="28"/>
          <w:lang w:val="en-US" w:eastAsia="zh-CN" w:bidi="ar-SA"/>
        </w:rPr>
        <w:t>七、结算方式和付款时间</w:t>
      </w:r>
    </w:p>
    <w:p w14:paraId="073BDB04">
      <w:pPr>
        <w:keepNext w:val="0"/>
        <w:keepLines w:val="0"/>
        <w:pageBreakBefore w:val="0"/>
        <w:widowControl w:val="0"/>
        <w:kinsoku/>
        <w:wordWrap/>
        <w:overflowPunct/>
        <w:topLinePunct w:val="0"/>
        <w:autoSpaceDE/>
        <w:autoSpaceDN/>
        <w:bidi w:val="0"/>
        <w:adjustRightInd/>
        <w:snapToGrid w:val="0"/>
        <w:spacing w:line="440" w:lineRule="exact"/>
        <w:ind w:firstLine="540" w:firstLineChars="200"/>
        <w:textAlignment w:val="auto"/>
        <w:rPr>
          <w:rFonts w:hint="eastAsia" w:ascii="仿宋" w:hAnsi="仿宋" w:eastAsia="仿宋" w:cs="仿宋"/>
          <w:b w:val="0"/>
          <w:bCs w:val="0"/>
          <w:color w:val="auto"/>
          <w:spacing w:val="-23"/>
          <w:w w:val="113"/>
          <w:sz w:val="28"/>
          <w:szCs w:val="28"/>
          <w:u w:val="single" w:color="FFFFFF"/>
          <w:lang w:eastAsia="zh-CN"/>
        </w:rPr>
      </w:pPr>
      <w:r>
        <w:rPr>
          <w:rFonts w:hint="eastAsia" w:ascii="仿宋" w:hAnsi="仿宋" w:eastAsia="仿宋" w:cs="仿宋"/>
          <w:b w:val="0"/>
          <w:bCs w:val="0"/>
          <w:color w:val="auto"/>
          <w:spacing w:val="-23"/>
          <w:w w:val="113"/>
          <w:sz w:val="28"/>
          <w:szCs w:val="28"/>
          <w:u w:val="single" w:color="FFFFFF"/>
          <w:lang w:val="en-US" w:eastAsia="zh-CN"/>
        </w:rPr>
        <w:t>1</w:t>
      </w:r>
      <w:r>
        <w:rPr>
          <w:rFonts w:hint="eastAsia" w:ascii="仿宋" w:hAnsi="仿宋" w:eastAsia="仿宋" w:cs="仿宋"/>
          <w:b w:val="0"/>
          <w:bCs w:val="0"/>
          <w:color w:val="auto"/>
          <w:spacing w:val="-23"/>
          <w:w w:val="113"/>
          <w:sz w:val="28"/>
          <w:szCs w:val="28"/>
          <w:u w:val="single" w:color="FFFFFF"/>
          <w:lang w:eastAsia="zh-CN"/>
        </w:rPr>
        <w:t>、当月计价标准以买方实际验收数量为准（含质量异议数量）。</w:t>
      </w:r>
    </w:p>
    <w:p w14:paraId="17FB1D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4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cs="仿宋"/>
          <w:b w:val="0"/>
          <w:bCs w:val="0"/>
          <w:color w:val="auto"/>
          <w:spacing w:val="-23"/>
          <w:w w:val="113"/>
          <w:sz w:val="28"/>
          <w:szCs w:val="28"/>
          <w:u w:val="single" w:color="FFFFFF"/>
          <w:lang w:val="en-US" w:eastAsia="zh-CN"/>
        </w:rPr>
        <w:t>2</w:t>
      </w:r>
      <w:r>
        <w:rPr>
          <w:rFonts w:hint="eastAsia" w:ascii="仿宋" w:hAnsi="仿宋" w:eastAsia="仿宋" w:cs="仿宋"/>
          <w:b w:val="0"/>
          <w:bCs w:val="0"/>
          <w:color w:val="auto"/>
          <w:spacing w:val="-23"/>
          <w:w w:val="113"/>
          <w:sz w:val="28"/>
          <w:szCs w:val="28"/>
          <w:u w:val="single" w:color="FFFFFF"/>
          <w:lang w:eastAsia="zh-CN"/>
        </w:rPr>
        <w:t>、先货后款，一票制结算,以银行承兑方式支付。</w:t>
      </w:r>
      <w:r>
        <w:rPr>
          <w:rFonts w:hint="eastAsia" w:ascii="仿宋" w:hAnsi="仿宋" w:eastAsia="仿宋" w:cs="仿宋"/>
          <w:b w:val="0"/>
          <w:bCs w:val="0"/>
          <w:color w:val="auto"/>
          <w:spacing w:val="-23"/>
          <w:w w:val="113"/>
          <w:sz w:val="28"/>
          <w:szCs w:val="28"/>
          <w:u w:val="single" w:color="FFFFFF"/>
          <w:lang w:val="en-US" w:eastAsia="zh-CN"/>
        </w:rPr>
        <w:t>货物运至</w:t>
      </w:r>
      <w:r>
        <w:rPr>
          <w:rFonts w:hint="eastAsia" w:ascii="仿宋" w:hAnsi="仿宋" w:eastAsia="仿宋"/>
          <w:color w:val="auto"/>
          <w:sz w:val="28"/>
          <w:szCs w:val="28"/>
          <w:highlight w:val="none"/>
          <w:lang w:val="en-US" w:eastAsia="zh-CN"/>
        </w:rPr>
        <w:t>买方仓库并安装调试完毕，卖方根据双方确认的结算数量及价格向买方</w:t>
      </w:r>
      <w:r>
        <w:rPr>
          <w:rFonts w:hint="eastAsia" w:ascii="仿宋" w:hAnsi="仿宋" w:eastAsia="仿宋"/>
          <w:color w:val="auto"/>
          <w:sz w:val="28"/>
          <w:szCs w:val="28"/>
          <w:highlight w:val="none"/>
          <w:lang w:eastAsia="zh-CN"/>
        </w:rPr>
        <w:t>开具</w:t>
      </w:r>
      <w:r>
        <w:rPr>
          <w:rFonts w:hint="eastAsia" w:ascii="仿宋" w:hAnsi="仿宋" w:eastAsia="仿宋"/>
          <w:color w:val="auto"/>
          <w:sz w:val="28"/>
          <w:szCs w:val="28"/>
          <w:highlight w:val="none"/>
          <w:lang w:val="en-US" w:eastAsia="zh-CN"/>
        </w:rPr>
        <w:t>对应数量</w:t>
      </w:r>
      <w:r>
        <w:rPr>
          <w:rFonts w:hint="eastAsia" w:ascii="仿宋" w:hAnsi="仿宋" w:eastAsia="仿宋" w:cs="仿宋"/>
          <w:b w:val="0"/>
          <w:bCs w:val="0"/>
          <w:color w:val="auto"/>
          <w:spacing w:val="-23"/>
          <w:w w:val="113"/>
          <w:sz w:val="28"/>
          <w:szCs w:val="28"/>
          <w:u w:val="single" w:color="FFFFFF"/>
          <w:lang w:val="en-US" w:eastAsia="zh-CN"/>
        </w:rPr>
        <w:t>货物总价的</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税率为**%</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符合税法要求的</w:t>
      </w:r>
      <w:r>
        <w:rPr>
          <w:rFonts w:hint="eastAsia" w:ascii="仿宋" w:hAnsi="仿宋" w:eastAsia="仿宋" w:cs="仿宋"/>
          <w:b w:val="0"/>
          <w:bCs w:val="0"/>
          <w:color w:val="auto"/>
          <w:spacing w:val="-23"/>
          <w:w w:val="113"/>
          <w:sz w:val="28"/>
          <w:szCs w:val="28"/>
          <w:u w:val="single" w:color="FFFFFF"/>
          <w:lang w:eastAsia="zh-CN"/>
        </w:rPr>
        <w:t>增值税专用发票</w:t>
      </w:r>
      <w:r>
        <w:rPr>
          <w:rFonts w:hint="eastAsia" w:ascii="仿宋" w:hAnsi="仿宋" w:eastAsia="仿宋" w:cs="仿宋"/>
          <w:b w:val="0"/>
          <w:bCs w:val="0"/>
          <w:color w:val="auto"/>
          <w:spacing w:val="-23"/>
          <w:w w:val="113"/>
          <w:sz w:val="28"/>
          <w:szCs w:val="28"/>
          <w:u w:val="single" w:color="FFFFFF"/>
          <w:lang w:val="en-US" w:eastAsia="zh-CN"/>
        </w:rPr>
        <w:t>及收据</w:t>
      </w:r>
      <w:r>
        <w:rPr>
          <w:rFonts w:hint="eastAsia" w:ascii="仿宋" w:hAnsi="仿宋" w:eastAsia="仿宋" w:cs="仿宋"/>
          <w:b w:val="0"/>
          <w:bCs w:val="0"/>
          <w:color w:val="auto"/>
          <w:spacing w:val="-23"/>
          <w:w w:val="113"/>
          <w:sz w:val="28"/>
          <w:szCs w:val="28"/>
          <w:u w:val="single" w:color="FFFFFF"/>
          <w:lang w:eastAsia="zh-CN"/>
        </w:rPr>
        <w:t>，</w:t>
      </w:r>
      <w:r>
        <w:rPr>
          <w:rFonts w:hint="eastAsia" w:ascii="仿宋" w:hAnsi="仿宋" w:eastAsia="仿宋" w:cs="仿宋"/>
          <w:b w:val="0"/>
          <w:bCs w:val="0"/>
          <w:color w:val="auto"/>
          <w:spacing w:val="-23"/>
          <w:w w:val="113"/>
          <w:sz w:val="28"/>
          <w:szCs w:val="28"/>
          <w:u w:val="single" w:color="FFFFFF"/>
          <w:lang w:val="en-US" w:eastAsia="zh-CN"/>
        </w:rPr>
        <w:t>买方收到审核无误后20个工作日之内入账，自入账之日起90个工作日内支付相应货款。</w:t>
      </w:r>
    </w:p>
    <w:p w14:paraId="57B62FD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cs="仿宋"/>
          <w:b w:val="0"/>
          <w:bCs/>
          <w:kern w:val="2"/>
          <w:sz w:val="28"/>
          <w:szCs w:val="28"/>
          <w:lang w:val="en-US" w:eastAsia="zh-CN" w:bidi="ar-SA"/>
        </w:rPr>
        <w:t>如因卖方提供发票不合规导致买方补缴税款、滞纳金、罚款等其他相关损失的，</w:t>
      </w:r>
      <w:r>
        <w:rPr>
          <w:rFonts w:hint="default" w:ascii="仿宋" w:hAnsi="仿宋" w:eastAsia="仿宋" w:cs="仿宋"/>
          <w:sz w:val="28"/>
          <w:szCs w:val="28"/>
          <w:lang w:val="en-US" w:eastAsia="zh-CN"/>
        </w:rPr>
        <w:t>卖方应向买方支付合同总额</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%的违约金，违约金不足以弥补买方损失的，卖方应赔偿买方实际损失</w:t>
      </w:r>
      <w:r>
        <w:rPr>
          <w:rFonts w:hint="eastAsia" w:ascii="仿宋" w:hAnsi="仿宋" w:eastAsia="仿宋"/>
          <w:sz w:val="28"/>
          <w:szCs w:val="28"/>
          <w:lang w:val="en-US" w:eastAsia="zh-CN"/>
        </w:rPr>
        <w:t>。</w:t>
      </w:r>
    </w:p>
    <w:p w14:paraId="26657151">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4、卖方因本合同产生的违约金及损失赔偿金买方有权从保证金或应付款中直接扣除。</w:t>
      </w:r>
    </w:p>
    <w:p w14:paraId="73A61AB0">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lang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八</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权利瑕疵担保</w:t>
      </w:r>
    </w:p>
    <w:p w14:paraId="7A706F23">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卖方</w:t>
      </w:r>
      <w:r>
        <w:rPr>
          <w:rFonts w:hint="eastAsia" w:ascii="仿宋" w:hAnsi="仿宋" w:eastAsia="仿宋"/>
          <w:sz w:val="28"/>
          <w:szCs w:val="28"/>
          <w:lang w:val="en-US" w:eastAsia="zh-CN"/>
        </w:rPr>
        <w:t>须</w:t>
      </w:r>
      <w:r>
        <w:rPr>
          <w:rFonts w:hint="eastAsia" w:ascii="仿宋" w:hAnsi="仿宋" w:eastAsia="仿宋"/>
          <w:sz w:val="28"/>
          <w:szCs w:val="28"/>
        </w:rPr>
        <w:t>保证享有本协议项下的货物所有权，任何第三方不会对该货物提出任何权利要求。</w:t>
      </w:r>
    </w:p>
    <w:p w14:paraId="69B09694">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cs="仿宋"/>
          <w:b w:val="0"/>
          <w:bCs/>
          <w:kern w:val="2"/>
          <w:sz w:val="28"/>
          <w:szCs w:val="28"/>
          <w:lang w:val="en-US" w:eastAsia="zh-CN" w:bidi="ar-SA"/>
        </w:rPr>
        <w:t>卖</w:t>
      </w:r>
      <w:r>
        <w:rPr>
          <w:rFonts w:hint="default" w:ascii="仿宋" w:hAnsi="仿宋" w:eastAsia="仿宋" w:cs="仿宋"/>
          <w:b w:val="0"/>
          <w:bCs/>
          <w:kern w:val="2"/>
          <w:sz w:val="28"/>
          <w:szCs w:val="28"/>
          <w:lang w:val="en-US" w:eastAsia="zh-CN" w:bidi="ar-SA"/>
        </w:rPr>
        <w:t>方保证</w:t>
      </w:r>
      <w:r>
        <w:rPr>
          <w:rFonts w:hint="eastAsia" w:ascii="仿宋" w:hAnsi="仿宋" w:eastAsia="仿宋" w:cs="仿宋"/>
          <w:b w:val="0"/>
          <w:bCs/>
          <w:kern w:val="2"/>
          <w:sz w:val="28"/>
          <w:szCs w:val="28"/>
          <w:lang w:val="en-US" w:eastAsia="zh-CN" w:bidi="ar-SA"/>
        </w:rPr>
        <w:t>买</w:t>
      </w:r>
      <w:r>
        <w:rPr>
          <w:rFonts w:hint="default" w:ascii="仿宋" w:hAnsi="仿宋" w:eastAsia="仿宋" w:cs="仿宋"/>
          <w:b w:val="0"/>
          <w:bCs/>
          <w:kern w:val="2"/>
          <w:sz w:val="28"/>
          <w:szCs w:val="28"/>
          <w:lang w:val="en-US" w:eastAsia="zh-CN" w:bidi="ar-SA"/>
        </w:rPr>
        <w:t>方不因使用</w:t>
      </w:r>
      <w:r>
        <w:rPr>
          <w:rFonts w:hint="eastAsia" w:ascii="仿宋" w:hAnsi="仿宋" w:eastAsia="仿宋" w:cs="仿宋"/>
          <w:b w:val="0"/>
          <w:bCs/>
          <w:kern w:val="2"/>
          <w:sz w:val="28"/>
          <w:szCs w:val="28"/>
          <w:lang w:val="en-US" w:eastAsia="zh-CN" w:bidi="ar-SA"/>
        </w:rPr>
        <w:t>卖方</w:t>
      </w:r>
      <w:r>
        <w:rPr>
          <w:rFonts w:hint="default" w:ascii="仿宋" w:hAnsi="仿宋" w:eastAsia="仿宋" w:cs="仿宋"/>
          <w:b w:val="0"/>
          <w:bCs/>
          <w:kern w:val="2"/>
          <w:sz w:val="28"/>
          <w:szCs w:val="28"/>
          <w:lang w:val="en-US" w:eastAsia="zh-CN" w:bidi="ar-SA"/>
        </w:rPr>
        <w:t>提供的采购物资（包括技术）而引起的对任何第三方的设计、工艺方案、技术资料、商标、专利等知识产权产生侵权</w:t>
      </w:r>
      <w:r>
        <w:rPr>
          <w:rFonts w:hint="eastAsia" w:ascii="仿宋" w:hAnsi="仿宋" w:eastAsia="仿宋" w:cs="仿宋"/>
          <w:b w:val="0"/>
          <w:bCs/>
          <w:kern w:val="2"/>
          <w:sz w:val="28"/>
          <w:szCs w:val="28"/>
          <w:lang w:val="en-US" w:eastAsia="zh-CN" w:bidi="ar-SA"/>
        </w:rPr>
        <w:t>的问题</w:t>
      </w:r>
      <w:r>
        <w:rPr>
          <w:rFonts w:hint="default" w:ascii="仿宋" w:hAnsi="仿宋" w:eastAsia="仿宋" w:cs="仿宋"/>
          <w:sz w:val="28"/>
          <w:szCs w:val="28"/>
          <w:lang w:val="en-US" w:eastAsia="zh-CN"/>
        </w:rPr>
        <w:t>。</w:t>
      </w:r>
    </w:p>
    <w:p w14:paraId="00074DA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九</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b/>
          <w:bCs/>
          <w:sz w:val="28"/>
          <w:szCs w:val="28"/>
        </w:rPr>
        <w:t>违约责任</w:t>
      </w:r>
    </w:p>
    <w:p w14:paraId="300FA413">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1、卖方每延期一天交付货物应向买方支付合同总价的</w:t>
      </w:r>
      <w:r>
        <w:rPr>
          <w:rFonts w:hint="eastAsia" w:ascii="仿宋" w:hAnsi="仿宋" w:eastAsia="仿宋" w:cs="仿宋"/>
          <w:color w:val="auto"/>
          <w:spacing w:val="2"/>
          <w:sz w:val="28"/>
          <w:szCs w:val="28"/>
          <w:lang w:val="en-US" w:eastAsia="zh-CN"/>
        </w:rPr>
        <w:t>0.5</w:t>
      </w:r>
      <w:r>
        <w:rPr>
          <w:rFonts w:hint="eastAsia" w:ascii="仿宋" w:hAnsi="仿宋" w:eastAsia="仿宋" w:cs="仿宋"/>
          <w:color w:val="auto"/>
          <w:spacing w:val="2"/>
          <w:sz w:val="28"/>
          <w:szCs w:val="28"/>
        </w:rPr>
        <w:t>%作为违约金，延期超过7天买方可单方解除合同</w:t>
      </w:r>
      <w:r>
        <w:rPr>
          <w:rFonts w:hint="eastAsia" w:ascii="仿宋" w:hAnsi="仿宋" w:eastAsia="仿宋" w:cs="仿宋"/>
          <w:color w:val="auto"/>
          <w:spacing w:val="2"/>
          <w:sz w:val="28"/>
          <w:szCs w:val="28"/>
          <w:lang w:eastAsia="zh-CN"/>
        </w:rPr>
        <w:t>。</w:t>
      </w:r>
    </w:p>
    <w:p w14:paraId="1790E7AB">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2、因买方原因导致未能在规定的期限内付清货款，逾期后双方应优先协商解决，如协商未果，经诉讼程序解决的，买方应当依据合同订立时1年期贷款市场报价利率向卖方支付逾期付款利息。</w:t>
      </w:r>
    </w:p>
    <w:p w14:paraId="4FB85CBC">
      <w:pPr>
        <w:keepNext w:val="0"/>
        <w:keepLines w:val="0"/>
        <w:pageBreakBefore w:val="0"/>
        <w:widowControl w:val="0"/>
        <w:kinsoku/>
        <w:wordWrap/>
        <w:overflowPunct/>
        <w:topLinePunct w:val="0"/>
        <w:autoSpaceDE/>
        <w:autoSpaceDN/>
        <w:bidi w:val="0"/>
        <w:adjustRightInd/>
        <w:snapToGrid w:val="0"/>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3、因卖方违约原因买方暂停支付货款的，买方不承担任何逾期付款责任。</w:t>
      </w:r>
    </w:p>
    <w:p w14:paraId="13F86B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8"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4、若卖方所供货物价格高于同期市场价格或卖方同行价格或买方同行业采购价格20%以上，且卖方无法做出合理解释的，卖方应向买方支付违约金，违约金为差价2倍和合同总额10%的数额之和，</w:t>
      </w:r>
      <w:r>
        <w:rPr>
          <w:rFonts w:hint="eastAsia" w:ascii="仿宋" w:hAnsi="仿宋" w:eastAsia="仿宋" w:cs="Times New Roman"/>
          <w:color w:val="auto"/>
          <w:sz w:val="28"/>
          <w:szCs w:val="28"/>
          <w:lang w:val="en-US" w:eastAsia="zh-CN"/>
        </w:rPr>
        <w:t>买方有权单方终止合同且不承担任何责任</w:t>
      </w:r>
      <w:r>
        <w:rPr>
          <w:rFonts w:hint="eastAsia" w:ascii="仿宋" w:hAnsi="仿宋" w:eastAsia="仿宋" w:cs="仿宋"/>
          <w:color w:val="auto"/>
          <w:spacing w:val="-2"/>
          <w:sz w:val="28"/>
          <w:szCs w:val="28"/>
          <w:lang w:val="en-US" w:eastAsia="zh-CN"/>
        </w:rPr>
        <w:t>。</w:t>
      </w:r>
    </w:p>
    <w:p w14:paraId="560D4F11">
      <w:pPr>
        <w:keepNext w:val="0"/>
        <w:keepLines w:val="0"/>
        <w:pageBreakBefore w:val="0"/>
        <w:widowControl w:val="0"/>
        <w:kinsoku/>
        <w:wordWrap/>
        <w:overflowPunct/>
        <w:topLinePunct w:val="0"/>
        <w:autoSpaceDE/>
        <w:autoSpaceDN/>
        <w:bidi w:val="0"/>
        <w:adjustRightInd/>
        <w:snapToGrid w:val="0"/>
        <w:spacing w:line="440" w:lineRule="exact"/>
        <w:ind w:firstLine="552" w:firstLineChars="200"/>
        <w:textAlignment w:val="auto"/>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5、未经买方书面同意，卖方不得将本合同权利义务转让给任何第三方，卖方违反本条约定擅自转让的，应按双方最终结算价款总额的30%向买方支付违约金。</w:t>
      </w:r>
    </w:p>
    <w:p w14:paraId="61AD4FA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color w:val="auto"/>
          <w:sz w:val="28"/>
          <w:szCs w:val="28"/>
          <w:lang w:val="en-US" w:eastAsia="zh-CN"/>
        </w:rPr>
        <w:t>6、</w:t>
      </w:r>
      <w:r>
        <w:rPr>
          <w:rFonts w:hint="default" w:ascii="仿宋" w:hAnsi="仿宋" w:eastAsia="仿宋" w:cs="仿宋"/>
          <w:sz w:val="28"/>
          <w:szCs w:val="28"/>
          <w:lang w:val="en-US" w:eastAsia="zh-CN"/>
        </w:rPr>
        <w:t>如果</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方受到任何第三方的侵权指控，由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方负责与第三方交涉处理，并承担一切由此引起的法律上和经济上的责任，从而使</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方免受由于第三方索赔从法律及经济责任上所造成的损害，如因此造成</w:t>
      </w:r>
      <w:r>
        <w:rPr>
          <w:rFonts w:hint="eastAsia" w:ascii="仿宋" w:hAnsi="仿宋" w:eastAsia="仿宋" w:cs="仿宋"/>
          <w:sz w:val="28"/>
          <w:szCs w:val="28"/>
          <w:lang w:val="en-US" w:eastAsia="zh-CN"/>
        </w:rPr>
        <w:t>买</w:t>
      </w:r>
      <w:r>
        <w:rPr>
          <w:rFonts w:hint="default" w:ascii="仿宋" w:hAnsi="仿宋" w:eastAsia="仿宋" w:cs="仿宋"/>
          <w:sz w:val="28"/>
          <w:szCs w:val="28"/>
          <w:lang w:val="en-US" w:eastAsia="zh-CN"/>
        </w:rPr>
        <w:t>方直接与间接损失的，由</w:t>
      </w:r>
      <w:r>
        <w:rPr>
          <w:rFonts w:hint="eastAsia" w:ascii="仿宋" w:hAnsi="仿宋" w:eastAsia="仿宋" w:cs="仿宋"/>
          <w:sz w:val="28"/>
          <w:szCs w:val="28"/>
          <w:lang w:val="en-US" w:eastAsia="zh-CN"/>
        </w:rPr>
        <w:t>卖</w:t>
      </w:r>
      <w:r>
        <w:rPr>
          <w:rFonts w:hint="default" w:ascii="仿宋" w:hAnsi="仿宋" w:eastAsia="仿宋" w:cs="仿宋"/>
          <w:sz w:val="28"/>
          <w:szCs w:val="28"/>
          <w:lang w:val="en-US" w:eastAsia="zh-CN"/>
        </w:rPr>
        <w:t>方承担全部赔偿责任。</w:t>
      </w:r>
    </w:p>
    <w:p w14:paraId="281E665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、若卖方采取不恰当的异议处理方式，并给买方生产经营或信誉造成负面影响，买方有权终止其所有关联公司的业务合作。</w:t>
      </w:r>
    </w:p>
    <w:p w14:paraId="2FD1C31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8、卖方送货车辆进入买方厂区，应严格按照买方要求停放车辆、过磅（如需）以及交货，否则按照200元/次/车的标准支付违约金。</w:t>
      </w:r>
    </w:p>
    <w:p w14:paraId="03D4D52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bCs/>
          <w:sz w:val="28"/>
          <w:szCs w:val="28"/>
        </w:rPr>
      </w:pPr>
      <w:r>
        <w:rPr>
          <w:rFonts w:hint="eastAsia" w:ascii="仿宋" w:hAnsi="仿宋" w:eastAsia="仿宋" w:cs="仿宋"/>
          <w:sz w:val="28"/>
          <w:szCs w:val="28"/>
          <w:lang w:val="en-US" w:eastAsia="zh-CN"/>
        </w:rPr>
        <w:t>9</w:t>
      </w:r>
      <w:r>
        <w:rPr>
          <w:rFonts w:hint="default" w:ascii="仿宋" w:hAnsi="仿宋" w:eastAsia="仿宋" w:cs="仿宋"/>
          <w:sz w:val="28"/>
          <w:szCs w:val="28"/>
          <w:lang w:val="en-US" w:eastAsia="zh-CN"/>
        </w:rPr>
        <w:t>、卖方出现包括但不限于上述违约行为的，买方有权解除合同。买方解除合同的，卖方除应按本合同约定的条款支付违约金，还应向买方支付合同总额30%的违约金，违约金不足以弥补买方损失的，卖方应赔偿买方实际损失。</w:t>
      </w:r>
    </w:p>
    <w:p w14:paraId="22939CCB">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通知与送达</w:t>
      </w:r>
    </w:p>
    <w:p w14:paraId="74E3FCAF">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b w:val="0"/>
          <w:bCs/>
          <w:kern w:val="2"/>
          <w:sz w:val="28"/>
          <w:szCs w:val="28"/>
          <w:lang w:val="en-US" w:eastAsia="zh-CN" w:bidi="ar-SA"/>
        </w:rPr>
        <w:t>买卖双方认同在本合同中留存的联系方式为有效联系方式，一方变更联系方式、地址或联系人的，应当在变更前3日内书面通知对方，否则以原地址或联系人为准。对方当事人实际收到变更通知前的送达仍为有效送达，电子送达与书面送达具有同等法律效力</w:t>
      </w:r>
      <w:r>
        <w:rPr>
          <w:rFonts w:hint="eastAsia" w:ascii="仿宋" w:hAnsi="仿宋" w:eastAsia="仿宋" w:cs="仿宋"/>
          <w:b w:val="0"/>
          <w:bCs w:val="0"/>
          <w:color w:val="auto"/>
          <w:sz w:val="28"/>
          <w:szCs w:val="28"/>
          <w:highlight w:val="none"/>
          <w:u w:val="none"/>
          <w:lang w:val="en-US" w:eastAsia="zh-CN"/>
        </w:rPr>
        <w:t>。</w:t>
      </w:r>
    </w:p>
    <w:p w14:paraId="4AF51F7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2、一方向另一方送达文件，以被送达方的签收日期作为送达日期。通过快递方式送达的，以快递签收日期为送达日期，被送达方拒收、退回或无法送达的，自交邮后第5日视为已经送达。电子邮件方式送达的，以邮件发出之日作为送达之日。</w:t>
      </w:r>
    </w:p>
    <w:p w14:paraId="40802A2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3、卖方的开户银行、账户名称、银行账号以本合同提供的为准。通知地址的适用范围包括各方发生纠纷进入诉讼、仲裁程序时法律文书及其他相关文件的送达。</w:t>
      </w:r>
    </w:p>
    <w:p w14:paraId="05849AF4">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十一</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color w:val="auto"/>
          <w:sz w:val="28"/>
          <w:szCs w:val="28"/>
          <w:highlight w:val="none"/>
          <w:u w:val="none"/>
          <w:lang w:val="en-US" w:eastAsia="zh-CN"/>
        </w:rPr>
        <w:t>不可抗力</w:t>
      </w:r>
    </w:p>
    <w:p w14:paraId="14AB184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val="0"/>
          <w:bCs w:val="0"/>
          <w:color w:val="auto"/>
          <w:sz w:val="28"/>
          <w:szCs w:val="28"/>
          <w:highlight w:val="none"/>
          <w:u w:val="none"/>
          <w:lang w:val="en-US" w:eastAsia="zh-CN"/>
        </w:rPr>
        <w:t>1、</w:t>
      </w:r>
      <w:r>
        <w:rPr>
          <w:rFonts w:hint="eastAsia" w:ascii="仿宋" w:hAnsi="仿宋" w:eastAsia="仿宋" w:cs="仿宋"/>
          <w:sz w:val="28"/>
          <w:szCs w:val="28"/>
          <w:highlight w:val="none"/>
        </w:rPr>
        <w:t>不可抗力指签署本合同时各方不能预见、不能避免、不能克服且导致本合同全部或者部分不能履行或者不能按时履行的客观情况，包括但不限于政府行为、国家政策（危化品运输限制）、大雪、疫情、自然灾害、火灾、爆炸、台风、洪水、地震、海啸、雷电或战争、环保检查等突发情况。任何信用、资本或资金短缺不应当视为本合同项下不可抗力事件的范围</w:t>
      </w:r>
      <w:r>
        <w:rPr>
          <w:rFonts w:hint="eastAsia" w:ascii="仿宋" w:hAnsi="仿宋" w:eastAsia="仿宋" w:cs="仿宋"/>
          <w:sz w:val="28"/>
          <w:szCs w:val="28"/>
          <w:highlight w:val="none"/>
          <w:lang w:eastAsia="zh-CN"/>
        </w:rPr>
        <w:t>。</w:t>
      </w:r>
    </w:p>
    <w:p w14:paraId="196D87E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2、因不可抗力</w:t>
      </w:r>
      <w:r>
        <w:rPr>
          <w:rFonts w:hint="eastAsia" w:ascii="仿宋" w:hAnsi="仿宋" w:eastAsia="仿宋" w:cs="仿宋"/>
          <w:sz w:val="28"/>
          <w:szCs w:val="28"/>
          <w:highlight w:val="none"/>
        </w:rPr>
        <w:t>不能履行或不能完全履行</w:t>
      </w:r>
      <w:r>
        <w:rPr>
          <w:rFonts w:hint="default" w:ascii="仿宋" w:hAnsi="仿宋" w:eastAsia="仿宋" w:cs="仿宋"/>
          <w:sz w:val="28"/>
          <w:szCs w:val="28"/>
          <w:lang w:val="en-US" w:eastAsia="zh-CN"/>
        </w:rPr>
        <w:t>合同一方应将此类事件的发生通知合同另一方，并应在不可抗力事件发生后</w:t>
      </w:r>
      <w:r>
        <w:rPr>
          <w:rFonts w:hint="eastAsia" w:ascii="仿宋" w:hAnsi="仿宋" w:eastAsia="仿宋" w:cs="仿宋"/>
          <w:sz w:val="28"/>
          <w:szCs w:val="28"/>
          <w:u w:val="none"/>
          <w:lang w:val="en-US" w:eastAsia="zh-CN"/>
        </w:rPr>
        <w:t>十</w:t>
      </w:r>
      <w:r>
        <w:rPr>
          <w:rFonts w:hint="default" w:ascii="仿宋" w:hAnsi="仿宋" w:eastAsia="仿宋" w:cs="仿宋"/>
          <w:sz w:val="28"/>
          <w:szCs w:val="28"/>
          <w:lang w:val="en-US" w:eastAsia="zh-CN"/>
        </w:rPr>
        <w:t>日内将</w:t>
      </w:r>
      <w:r>
        <w:rPr>
          <w:rFonts w:hint="eastAsia" w:ascii="仿宋" w:hAnsi="仿宋" w:eastAsia="仿宋" w:cs="仿宋"/>
          <w:sz w:val="28"/>
          <w:szCs w:val="28"/>
          <w:lang w:val="en-US" w:eastAsia="zh-CN"/>
        </w:rPr>
        <w:t>官方</w:t>
      </w:r>
      <w:r>
        <w:rPr>
          <w:rFonts w:hint="default" w:ascii="仿宋" w:hAnsi="仿宋" w:eastAsia="仿宋" w:cs="仿宋"/>
          <w:sz w:val="28"/>
          <w:szCs w:val="28"/>
          <w:lang w:val="en-US" w:eastAsia="zh-CN"/>
        </w:rPr>
        <w:t>或机构出具的证明文件提交给合同另一方。</w:t>
      </w:r>
    </w:p>
    <w:p w14:paraId="11E719E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3、</w:t>
      </w:r>
      <w:r>
        <w:rPr>
          <w:rFonts w:hint="default" w:ascii="仿宋" w:hAnsi="仿宋" w:eastAsia="仿宋" w:cs="仿宋"/>
          <w:sz w:val="28"/>
          <w:szCs w:val="28"/>
          <w:lang w:val="en-US" w:eastAsia="zh-CN"/>
        </w:rPr>
        <w:t>受不可抗力事件影响的合同一方对于不可抗力事件导致的任何合同义务的迟延履行或不能履行不承担责任。但该合同方应尽快将不可抗力事件结束或其影响消除的情况通知合同另一方。</w:t>
      </w:r>
    </w:p>
    <w:p w14:paraId="05984040">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十二</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安全环保条款</w:t>
      </w:r>
    </w:p>
    <w:p w14:paraId="5F51AD0A">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关于安全、环保、职业健康的特别约定：买卖双方在货物生产、运输、装卸、交付过程中，应当严格遵守国家、地方有关安全、环保、职业健康的法律法规和规章；一方到对方指定地点交货、提货时，一方及其委托的运输方、运输方驾驶员还应当遵守对方的安全、环保、职业健康管理制度和要求，接受对方在安全、环保、职业健康方面的监督和管理。若因一方违反了前述规定，给对方或/及第三方造成人身伤害、财产损失的，一方应当就对方或/及第三方的全部损失承担赔偿责任。</w:t>
      </w:r>
    </w:p>
    <w:p w14:paraId="698DB25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sz w:val="28"/>
          <w:szCs w:val="28"/>
          <w:lang w:val="en-US" w:eastAsia="zh-CN"/>
        </w:rPr>
        <w:t>2、卖方人员及车辆在买方区域内应遵守买方的安全环保等各项规定，服从现场人员指挥。未经许可，不得在买方厂区内自行装卸货物、拆解包装、动用现场工具设备等，不得在厂区内抽烟，否则这些违规行为造成的一切后果由卖方承担。卖方人员应</w:t>
      </w:r>
      <w:r>
        <w:rPr>
          <w:rFonts w:hint="eastAsia" w:ascii="仿宋" w:hAnsi="仿宋" w:eastAsia="仿宋" w:cs="仿宋"/>
          <w:color w:val="auto"/>
          <w:sz w:val="28"/>
          <w:szCs w:val="28"/>
          <w:lang w:val="en-US" w:eastAsia="zh-CN"/>
        </w:rPr>
        <w:t>遵守买方现场安全管理规章制度，因卖方原因发生不安全事件由卖方自行承担责任。</w:t>
      </w:r>
    </w:p>
    <w:p w14:paraId="39FEF911">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十三</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廉洁条款</w:t>
      </w:r>
    </w:p>
    <w:p w14:paraId="553ABF2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b w:val="0"/>
          <w:bCs w:val="0"/>
          <w:sz w:val="28"/>
          <w:szCs w:val="28"/>
          <w:u w:val="single" w:color="FFFFFF"/>
        </w:rPr>
      </w:pPr>
      <w:r>
        <w:rPr>
          <w:rFonts w:hint="eastAsia" w:ascii="仿宋" w:hAnsi="仿宋" w:eastAsia="仿宋" w:cs="仿宋"/>
          <w:sz w:val="28"/>
          <w:szCs w:val="28"/>
          <w:lang w:val="en-US" w:eastAsia="zh-CN"/>
        </w:rPr>
        <w:t>1、买卖双方应当自觉遵守国家有关法律法规和党风廉政建设等各项规定，严格杜绝违法违规行为的发生；</w:t>
      </w:r>
      <w:r>
        <w:rPr>
          <w:rFonts w:hint="eastAsia" w:ascii="仿宋" w:hAnsi="仿宋" w:eastAsia="仿宋"/>
          <w:b w:val="0"/>
          <w:bCs w:val="0"/>
          <w:sz w:val="28"/>
          <w:szCs w:val="28"/>
          <w:u w:val="single" w:color="FFFFFF"/>
        </w:rPr>
        <w:t>卖方</w:t>
      </w:r>
      <w:r>
        <w:rPr>
          <w:rFonts w:hint="eastAsia" w:ascii="仿宋" w:hAnsi="仿宋" w:eastAsia="仿宋"/>
          <w:b w:val="0"/>
          <w:bCs w:val="0"/>
          <w:sz w:val="28"/>
          <w:szCs w:val="28"/>
          <w:u w:val="single" w:color="FFFFFF"/>
          <w:lang w:eastAsia="zh-CN"/>
        </w:rPr>
        <w:t>须与买方另行签订廉政协议并遵照执行</w:t>
      </w:r>
      <w:r>
        <w:rPr>
          <w:rFonts w:hint="eastAsia" w:ascii="仿宋" w:hAnsi="仿宋" w:eastAsia="仿宋"/>
          <w:b w:val="0"/>
          <w:bCs w:val="0"/>
          <w:sz w:val="28"/>
          <w:szCs w:val="28"/>
          <w:u w:val="single" w:color="FFFFFF"/>
        </w:rPr>
        <w:t>。</w:t>
      </w:r>
    </w:p>
    <w:p w14:paraId="1279A17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b w:val="0"/>
          <w:bCs w:val="0"/>
          <w:sz w:val="28"/>
          <w:szCs w:val="28"/>
          <w:u w:val="single" w:color="FFFFFF"/>
          <w:lang w:val="en-US" w:eastAsia="zh-CN"/>
        </w:rPr>
        <w:t>2、</w:t>
      </w:r>
      <w:r>
        <w:rPr>
          <w:rFonts w:hint="eastAsia" w:ascii="仿宋" w:hAnsi="仿宋" w:eastAsia="仿宋" w:cs="仿宋"/>
          <w:color w:val="auto"/>
          <w:sz w:val="28"/>
          <w:szCs w:val="28"/>
        </w:rPr>
        <w:t>卖方相关人员若对买方相关人员有行贿等商业不正当交往情形，买方</w:t>
      </w:r>
      <w:r>
        <w:rPr>
          <w:rFonts w:hint="eastAsia" w:ascii="仿宋" w:hAnsi="仿宋" w:eastAsia="仿宋" w:cs="仿宋"/>
          <w:color w:val="auto"/>
          <w:sz w:val="28"/>
          <w:szCs w:val="28"/>
          <w:lang w:val="en-US" w:eastAsia="zh-CN"/>
        </w:rPr>
        <w:t>有权</w:t>
      </w:r>
      <w:r>
        <w:rPr>
          <w:rFonts w:hint="eastAsia" w:ascii="仿宋" w:hAnsi="仿宋" w:eastAsia="仿宋" w:cs="仿宋"/>
          <w:color w:val="auto"/>
          <w:sz w:val="28"/>
          <w:szCs w:val="28"/>
        </w:rPr>
        <w:t>停止向卖方支付合同</w:t>
      </w:r>
      <w:r>
        <w:rPr>
          <w:rFonts w:hint="eastAsia" w:ascii="仿宋" w:hAnsi="仿宋" w:eastAsia="仿宋" w:cs="仿宋"/>
          <w:color w:val="auto"/>
          <w:sz w:val="28"/>
          <w:szCs w:val="28"/>
          <w:lang w:val="en-US" w:eastAsia="zh-CN"/>
        </w:rPr>
        <w:t>价</w:t>
      </w:r>
      <w:r>
        <w:rPr>
          <w:rFonts w:hint="eastAsia" w:ascii="仿宋" w:hAnsi="仿宋" w:eastAsia="仿宋" w:cs="仿宋"/>
          <w:color w:val="auto"/>
          <w:sz w:val="28"/>
          <w:szCs w:val="28"/>
        </w:rPr>
        <w:t>款，直至上述情形卖方主动配合调查清楚；买方同时有权扣除卖方合同总额</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0%的货款作为违约金</w:t>
      </w:r>
      <w:r>
        <w:rPr>
          <w:rFonts w:hint="eastAsia" w:ascii="仿宋" w:hAnsi="仿宋" w:eastAsia="仿宋" w:cs="仿宋"/>
          <w:color w:val="auto"/>
          <w:sz w:val="28"/>
          <w:szCs w:val="28"/>
          <w:lang w:eastAsia="zh-CN"/>
        </w:rPr>
        <w:t>。</w:t>
      </w:r>
    </w:p>
    <w:p w14:paraId="58B17715">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b/>
          <w:bCs/>
          <w:sz w:val="28"/>
          <w:szCs w:val="28"/>
        </w:rPr>
        <w:t>第</w:t>
      </w:r>
      <w:r>
        <w:rPr>
          <w:rFonts w:hint="eastAsia" w:ascii="仿宋" w:hAnsi="仿宋" w:eastAsia="仿宋"/>
          <w:b/>
          <w:bCs/>
          <w:sz w:val="28"/>
          <w:szCs w:val="28"/>
          <w:lang w:val="en-US" w:eastAsia="zh-CN"/>
        </w:rPr>
        <w:t>十四</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仿宋"/>
          <w:b/>
          <w:bCs/>
          <w:sz w:val="28"/>
          <w:szCs w:val="28"/>
          <w:lang w:val="en-US" w:eastAsia="zh-CN"/>
        </w:rPr>
        <w:t>保密条款</w:t>
      </w:r>
    </w:p>
    <w:p w14:paraId="6E8C3AE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color w:val="auto"/>
          <w:sz w:val="28"/>
          <w:szCs w:val="28"/>
          <w:lang w:val="en-US" w:eastAsia="zh-CN"/>
        </w:rPr>
        <w:t>无论本合同是否实际生效并被履行，双方对在订立、履行本合同过程中知悉的双方尚未向社会公开的技术、商业情报和资料均负有保密义务，不得泄密或者不正当使用。在本合同终止之后，双方仍需履行本合同项下的保密业务，直至对方同意解除此项业务，或事实上不会因违反本合同的保密条款而给对方造成任何形式的损害为止。</w:t>
      </w:r>
    </w:p>
    <w:p w14:paraId="4DF8AB96">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cs="Arial"/>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十五</w:t>
      </w:r>
      <w:r>
        <w:rPr>
          <w:rFonts w:hint="eastAsia" w:ascii="仿宋" w:hAnsi="仿宋" w:eastAsia="仿宋"/>
          <w:b/>
          <w:bCs/>
          <w:sz w:val="28"/>
          <w:szCs w:val="28"/>
        </w:rPr>
        <w:t>条</w:t>
      </w:r>
      <w:r>
        <w:rPr>
          <w:rFonts w:hint="eastAsia" w:ascii="仿宋" w:hAnsi="仿宋" w:eastAsia="仿宋"/>
          <w:b/>
          <w:bCs/>
          <w:sz w:val="28"/>
          <w:szCs w:val="28"/>
          <w:lang w:eastAsia="zh-CN"/>
        </w:rPr>
        <w:t>、</w:t>
      </w:r>
      <w:r>
        <w:rPr>
          <w:rFonts w:hint="eastAsia" w:ascii="仿宋" w:hAnsi="仿宋" w:eastAsia="仿宋" w:cs="Arial"/>
          <w:b/>
          <w:bCs/>
          <w:sz w:val="28"/>
          <w:szCs w:val="28"/>
        </w:rPr>
        <w:t>解决合同纠纷的方式</w:t>
      </w:r>
    </w:p>
    <w:p w14:paraId="4CA72C88">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凡因本合同引起的或与本合同有关的任何争议</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rPr>
        <w:t>双方</w:t>
      </w:r>
      <w:r>
        <w:rPr>
          <w:rFonts w:hint="eastAsia" w:ascii="仿宋" w:hAnsi="仿宋" w:eastAsia="仿宋" w:cs="Arial"/>
          <w:bCs/>
          <w:sz w:val="28"/>
          <w:szCs w:val="28"/>
          <w:lang w:val="en-US" w:eastAsia="zh-CN"/>
        </w:rPr>
        <w:t>应</w:t>
      </w:r>
      <w:r>
        <w:rPr>
          <w:rFonts w:hint="eastAsia" w:ascii="仿宋" w:hAnsi="仿宋" w:eastAsia="仿宋" w:cs="Arial"/>
          <w:bCs/>
          <w:sz w:val="28"/>
          <w:szCs w:val="28"/>
        </w:rPr>
        <w:t>友好协商</w:t>
      </w:r>
      <w:r>
        <w:rPr>
          <w:rFonts w:hint="eastAsia" w:ascii="仿宋" w:hAnsi="仿宋" w:eastAsia="仿宋" w:cs="Arial"/>
          <w:bCs/>
          <w:sz w:val="28"/>
          <w:szCs w:val="28"/>
          <w:lang w:eastAsia="zh-CN"/>
        </w:rPr>
        <w:t>。</w:t>
      </w:r>
      <w:r>
        <w:rPr>
          <w:rFonts w:hint="eastAsia" w:ascii="仿宋" w:hAnsi="仿宋" w:eastAsia="仿宋" w:cs="Arial"/>
          <w:bCs/>
          <w:sz w:val="28"/>
          <w:szCs w:val="28"/>
        </w:rPr>
        <w:t>协商不成</w:t>
      </w:r>
      <w:r>
        <w:rPr>
          <w:rFonts w:hint="eastAsia" w:ascii="仿宋" w:hAnsi="仿宋" w:eastAsia="仿宋" w:cs="Arial"/>
          <w:bCs/>
          <w:sz w:val="28"/>
          <w:szCs w:val="28"/>
          <w:lang w:val="en-US" w:eastAsia="zh-CN"/>
        </w:rPr>
        <w:t>的，可</w:t>
      </w:r>
      <w:r>
        <w:rPr>
          <w:rFonts w:hint="eastAsia" w:ascii="仿宋" w:hAnsi="仿宋" w:eastAsia="仿宋" w:cs="Arial"/>
          <w:bCs/>
          <w:sz w:val="28"/>
          <w:szCs w:val="28"/>
        </w:rPr>
        <w:t>提交买方所在地人民法院</w:t>
      </w:r>
      <w:r>
        <w:rPr>
          <w:rFonts w:hint="eastAsia" w:ascii="仿宋" w:hAnsi="仿宋" w:eastAsia="仿宋" w:cs="Arial"/>
          <w:bCs/>
          <w:sz w:val="28"/>
          <w:szCs w:val="28"/>
          <w:lang w:val="en-US" w:eastAsia="zh-CN"/>
        </w:rPr>
        <w:t>解决</w:t>
      </w:r>
      <w:r>
        <w:rPr>
          <w:rFonts w:hint="eastAsia" w:ascii="仿宋" w:hAnsi="仿宋" w:eastAsia="仿宋" w:cs="Arial"/>
          <w:bCs/>
          <w:sz w:val="28"/>
          <w:szCs w:val="28"/>
        </w:rPr>
        <w:t>。</w:t>
      </w:r>
    </w:p>
    <w:p w14:paraId="7A13FFAE">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8"/>
          <w:szCs w:val="28"/>
        </w:rPr>
      </w:pPr>
      <w:r>
        <w:rPr>
          <w:rFonts w:hint="eastAsia" w:ascii="仿宋" w:hAnsi="仿宋" w:eastAsia="仿宋" w:cs="Arial"/>
          <w:bCs/>
          <w:sz w:val="28"/>
          <w:szCs w:val="28"/>
          <w:lang w:val="en-US" w:eastAsia="zh-CN"/>
        </w:rPr>
        <w:t>2、</w:t>
      </w:r>
      <w:r>
        <w:rPr>
          <w:rFonts w:hint="eastAsia" w:ascii="仿宋" w:hAnsi="仿宋" w:eastAsia="仿宋" w:cs="Arial"/>
          <w:bCs/>
          <w:sz w:val="28"/>
          <w:szCs w:val="28"/>
        </w:rPr>
        <w:t>因处理争议而产生的诉讼费或仲裁费、</w:t>
      </w:r>
      <w:r>
        <w:rPr>
          <w:rFonts w:hint="eastAsia" w:ascii="仿宋" w:hAnsi="仿宋" w:eastAsia="仿宋" w:cs="Arial"/>
          <w:bCs/>
          <w:sz w:val="28"/>
          <w:szCs w:val="28"/>
          <w:lang w:val="en-US" w:eastAsia="zh-CN"/>
        </w:rPr>
        <w:t>保全费、</w:t>
      </w:r>
      <w:r>
        <w:rPr>
          <w:rFonts w:hint="eastAsia" w:ascii="仿宋" w:hAnsi="仿宋" w:eastAsia="仿宋" w:cs="Arial"/>
          <w:bCs/>
          <w:sz w:val="28"/>
          <w:szCs w:val="28"/>
        </w:rPr>
        <w:t>公告费、律师代理费、差旅费等全部费用，由违约方承担。</w:t>
      </w:r>
    </w:p>
    <w:p w14:paraId="307CB051">
      <w:pPr>
        <w:keepNext w:val="0"/>
        <w:keepLines w:val="0"/>
        <w:pageBreakBefore w:val="0"/>
        <w:widowControl w:val="0"/>
        <w:kinsoku/>
        <w:wordWrap/>
        <w:overflowPunct/>
        <w:topLinePunct w:val="0"/>
        <w:autoSpaceDE/>
        <w:autoSpaceDN/>
        <w:bidi w:val="0"/>
        <w:adjustRightInd/>
        <w:snapToGrid w:val="0"/>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第</w:t>
      </w:r>
      <w:r>
        <w:rPr>
          <w:rFonts w:hint="eastAsia" w:ascii="仿宋" w:hAnsi="仿宋" w:eastAsia="仿宋"/>
          <w:b/>
          <w:bCs/>
          <w:sz w:val="28"/>
          <w:szCs w:val="28"/>
          <w:lang w:val="en-US" w:eastAsia="zh-CN"/>
        </w:rPr>
        <w:t>十六</w:t>
      </w:r>
      <w:r>
        <w:rPr>
          <w:rFonts w:hint="eastAsia" w:ascii="仿宋" w:hAnsi="仿宋" w:eastAsia="仿宋"/>
          <w:b/>
          <w:bCs/>
          <w:sz w:val="28"/>
          <w:szCs w:val="28"/>
        </w:rPr>
        <w:t>条、其他</w:t>
      </w:r>
    </w:p>
    <w:p w14:paraId="5DEE0215">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w:t>
      </w:r>
      <w:r>
        <w:rPr>
          <w:rFonts w:hint="eastAsia" w:ascii="仿宋" w:hAnsi="仿宋" w:eastAsia="仿宋"/>
          <w:sz w:val="28"/>
          <w:szCs w:val="28"/>
        </w:rPr>
        <w:t>有效期内若合同货物的市场价格发生较大变化时，双方可进一步协商确定供货价格。</w:t>
      </w:r>
    </w:p>
    <w:p w14:paraId="19079A56">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2、买方实行“零库存超市化管理”，卖方签订本合同视同认可买方的管理方式。</w:t>
      </w:r>
      <w:r>
        <w:rPr>
          <w:rFonts w:hint="eastAsia" w:ascii="仿宋" w:hAnsi="仿宋" w:eastAsia="仿宋"/>
          <w:sz w:val="28"/>
          <w:szCs w:val="28"/>
          <w:lang w:eastAsia="zh-CN"/>
        </w:rPr>
        <w:t>自货到买方仓库之日起</w:t>
      </w:r>
      <w:r>
        <w:rPr>
          <w:rFonts w:hint="eastAsia" w:ascii="仿宋" w:hAnsi="仿宋" w:eastAsia="仿宋"/>
          <w:sz w:val="28"/>
          <w:szCs w:val="28"/>
          <w:lang w:val="en-US" w:eastAsia="zh-CN"/>
        </w:rPr>
        <w:t>90日内，</w:t>
      </w:r>
      <w:r>
        <w:rPr>
          <w:rFonts w:hint="eastAsia" w:ascii="仿宋" w:hAnsi="仿宋" w:eastAsia="仿宋"/>
          <w:sz w:val="28"/>
          <w:szCs w:val="28"/>
          <w:lang w:eastAsia="zh-CN"/>
        </w:rPr>
        <w:t>买方未实际领用的部分，所有权仍归卖方所有，买方免费保存，但期间的损毁灭失责任由买方承担。超过</w:t>
      </w:r>
      <w:r>
        <w:rPr>
          <w:rFonts w:hint="eastAsia" w:ascii="仿宋" w:hAnsi="仿宋" w:eastAsia="仿宋"/>
          <w:sz w:val="28"/>
          <w:szCs w:val="28"/>
          <w:lang w:val="en-US" w:eastAsia="zh-CN"/>
        </w:rPr>
        <w:t>90日卖方有权要求买方退回。</w:t>
      </w:r>
    </w:p>
    <w:p w14:paraId="2BD7644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3、合同所指买方损失均包含买方直接和间接损失。</w:t>
      </w:r>
    </w:p>
    <w:p w14:paraId="20114AF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本合同自双方签字</w:t>
      </w:r>
      <w:r>
        <w:rPr>
          <w:rFonts w:hint="eastAsia" w:ascii="仿宋" w:hAnsi="仿宋" w:eastAsia="仿宋"/>
          <w:sz w:val="28"/>
          <w:szCs w:val="28"/>
          <w:lang w:val="en-US" w:eastAsia="zh-CN"/>
        </w:rPr>
        <w:t>并</w:t>
      </w:r>
      <w:r>
        <w:rPr>
          <w:rFonts w:hint="eastAsia" w:ascii="仿宋" w:hAnsi="仿宋" w:eastAsia="仿宋"/>
          <w:sz w:val="28"/>
          <w:szCs w:val="28"/>
        </w:rPr>
        <w:t>加盖公章或合同专用章之日起生效。以合同约定通讯方式送达的扫描件与原件具有同等法律效力。</w:t>
      </w:r>
    </w:p>
    <w:p w14:paraId="4AE4ADC9">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lang w:val="en-US" w:eastAsia="zh-CN"/>
        </w:rPr>
        <w:t>5、合同有效</w:t>
      </w:r>
      <w:r>
        <w:rPr>
          <w:rFonts w:hint="eastAsia" w:ascii="仿宋" w:hAnsi="仿宋" w:eastAsia="仿宋"/>
          <w:sz w:val="28"/>
          <w:szCs w:val="28"/>
        </w:rPr>
        <w:t>期限为</w:t>
      </w:r>
      <w:r>
        <w:rPr>
          <w:rFonts w:hint="eastAsia" w:ascii="仿宋" w:hAnsi="仿宋" w:eastAsia="仿宋"/>
          <w:sz w:val="28"/>
          <w:szCs w:val="28"/>
          <w:lang w:val="en-US" w:eastAsia="zh-CN"/>
        </w:rPr>
        <w:t>：自合同生效之日起至货款两清索赔完毕时终止。</w:t>
      </w:r>
    </w:p>
    <w:p w14:paraId="4CFBC5C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本合同一式【</w:t>
      </w:r>
      <w:r>
        <w:rPr>
          <w:rFonts w:hint="eastAsia" w:ascii="仿宋" w:hAnsi="仿宋" w:eastAsia="仿宋"/>
          <w:sz w:val="28"/>
          <w:szCs w:val="28"/>
          <w:lang w:val="en-US" w:eastAsia="zh-CN"/>
        </w:rPr>
        <w:t>6</w:t>
      </w:r>
      <w:r>
        <w:rPr>
          <w:rFonts w:hint="eastAsia" w:ascii="仿宋" w:hAnsi="仿宋" w:eastAsia="仿宋"/>
          <w:sz w:val="28"/>
          <w:szCs w:val="28"/>
        </w:rPr>
        <w:t>】份，</w:t>
      </w:r>
      <w:r>
        <w:rPr>
          <w:rFonts w:hint="eastAsia" w:ascii="仿宋" w:hAnsi="仿宋" w:eastAsia="仿宋"/>
          <w:sz w:val="28"/>
          <w:szCs w:val="28"/>
          <w:lang w:val="en-US" w:eastAsia="zh-CN"/>
        </w:rPr>
        <w:t>买</w:t>
      </w:r>
      <w:r>
        <w:rPr>
          <w:rFonts w:hint="eastAsia" w:ascii="仿宋" w:hAnsi="仿宋" w:eastAsia="仿宋"/>
          <w:sz w:val="28"/>
          <w:szCs w:val="28"/>
        </w:rPr>
        <w:t>方执【</w:t>
      </w:r>
      <w:r>
        <w:rPr>
          <w:rFonts w:hint="eastAsia" w:ascii="仿宋" w:hAnsi="仿宋" w:eastAsia="仿宋"/>
          <w:sz w:val="28"/>
          <w:szCs w:val="28"/>
          <w:lang w:val="en-US" w:eastAsia="zh-CN"/>
        </w:rPr>
        <w:t>5</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卖</w:t>
      </w:r>
      <w:r>
        <w:rPr>
          <w:rFonts w:hint="eastAsia" w:ascii="仿宋" w:hAnsi="仿宋" w:eastAsia="仿宋"/>
          <w:sz w:val="28"/>
          <w:szCs w:val="28"/>
        </w:rPr>
        <w:t>方执【</w:t>
      </w:r>
      <w:r>
        <w:rPr>
          <w:rFonts w:hint="eastAsia" w:ascii="仿宋" w:hAnsi="仿宋" w:eastAsia="仿宋"/>
          <w:sz w:val="28"/>
          <w:szCs w:val="28"/>
          <w:lang w:val="en-US" w:eastAsia="zh-CN"/>
        </w:rPr>
        <w:t>1</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具有同等法律效力</w:t>
      </w:r>
      <w:r>
        <w:rPr>
          <w:rFonts w:hint="eastAsia" w:ascii="仿宋" w:hAnsi="仿宋" w:eastAsia="仿宋"/>
          <w:sz w:val="28"/>
          <w:szCs w:val="28"/>
        </w:rPr>
        <w:t>。未尽事宜，双方另行协商确定。</w:t>
      </w:r>
    </w:p>
    <w:p w14:paraId="3547B8FD">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Arial"/>
          <w:bCs/>
          <w:sz w:val="24"/>
        </w:rPr>
      </w:pPr>
      <w:r>
        <w:rPr>
          <w:rFonts w:hint="eastAsia" w:ascii="仿宋" w:hAnsi="仿宋" w:eastAsia="仿宋"/>
          <w:sz w:val="28"/>
          <w:szCs w:val="28"/>
        </w:rPr>
        <w:t>（以下无正文）</w:t>
      </w:r>
    </w:p>
    <w:tbl>
      <w:tblPr>
        <w:tblStyle w:val="9"/>
        <w:tblpPr w:leftFromText="180" w:rightFromText="180" w:vertAnchor="text" w:horzAnchor="page" w:tblpX="1249" w:tblpY="168"/>
        <w:tblW w:w="9692" w:type="dxa"/>
        <w:tblInd w:w="0" w:type="dxa"/>
        <w:tblLayout w:type="fixed"/>
        <w:tblCellMar>
          <w:top w:w="0" w:type="dxa"/>
          <w:left w:w="108" w:type="dxa"/>
          <w:bottom w:w="0" w:type="dxa"/>
          <w:right w:w="108" w:type="dxa"/>
        </w:tblCellMar>
      </w:tblPr>
      <w:tblGrid>
        <w:gridCol w:w="5149"/>
        <w:gridCol w:w="4543"/>
      </w:tblGrid>
      <w:tr w14:paraId="6DCF285C">
        <w:tblPrEx>
          <w:tblCellMar>
            <w:top w:w="0" w:type="dxa"/>
            <w:left w:w="108" w:type="dxa"/>
            <w:bottom w:w="0" w:type="dxa"/>
            <w:right w:w="108" w:type="dxa"/>
          </w:tblCellMar>
        </w:tblPrEx>
        <w:trPr>
          <w:trHeight w:val="3558" w:hRule="atLeast"/>
        </w:trPr>
        <w:tc>
          <w:tcPr>
            <w:tcW w:w="5149" w:type="dxa"/>
            <w:tcBorders>
              <w:top w:val="single" w:color="auto" w:sz="4" w:space="0"/>
              <w:left w:val="single" w:color="auto" w:sz="4" w:space="0"/>
              <w:bottom w:val="single" w:color="auto" w:sz="4" w:space="0"/>
              <w:right w:val="single" w:color="auto" w:sz="4" w:space="0"/>
            </w:tcBorders>
            <w:vAlign w:val="top"/>
          </w:tcPr>
          <w:p w14:paraId="186444D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买方：     </w:t>
            </w:r>
          </w:p>
          <w:p w14:paraId="67011D3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地址：</w:t>
            </w:r>
          </w:p>
          <w:p w14:paraId="7EABCBE1">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邮箱：</w:t>
            </w:r>
          </w:p>
          <w:p w14:paraId="652B95F9">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72589973">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税号：</w:t>
            </w:r>
          </w:p>
          <w:p w14:paraId="6F13EF0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p>
          <w:p w14:paraId="38C8B6ED">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w:t>
            </w:r>
          </w:p>
          <w:p w14:paraId="5E21B26C">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法定代表人或委托代理人：</w:t>
            </w:r>
          </w:p>
          <w:p w14:paraId="5A31384A">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lang w:val="en-US" w:eastAsia="zh-CN"/>
              </w:rPr>
            </w:pPr>
          </w:p>
        </w:tc>
        <w:tc>
          <w:tcPr>
            <w:tcW w:w="4543" w:type="dxa"/>
            <w:tcBorders>
              <w:top w:val="single" w:color="auto" w:sz="4" w:space="0"/>
              <w:left w:val="single" w:color="auto" w:sz="4" w:space="0"/>
              <w:bottom w:val="single" w:color="auto" w:sz="4" w:space="0"/>
              <w:right w:val="single" w:color="auto" w:sz="4" w:space="0"/>
            </w:tcBorders>
            <w:vAlign w:val="top"/>
          </w:tcPr>
          <w:p w14:paraId="56884A3E">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卖方：</w:t>
            </w:r>
          </w:p>
          <w:p w14:paraId="65C09F53">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地址：</w:t>
            </w:r>
          </w:p>
          <w:p w14:paraId="7392595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邮箱：</w:t>
            </w:r>
          </w:p>
          <w:p w14:paraId="7B67256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电话：</w:t>
            </w:r>
          </w:p>
          <w:p w14:paraId="363A737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税号：</w:t>
            </w:r>
          </w:p>
          <w:p w14:paraId="05C1085B">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开户行：</w:t>
            </w:r>
          </w:p>
          <w:p w14:paraId="52BD69A0">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rPr>
              <w:t>账号：</w:t>
            </w:r>
          </w:p>
          <w:p w14:paraId="2B751605">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法定代表人或委托代理人</w:t>
            </w:r>
            <w:r>
              <w:rPr>
                <w:rFonts w:hint="eastAsia" w:ascii="仿宋" w:hAnsi="仿宋" w:eastAsia="仿宋" w:cs="仿宋"/>
                <w:sz w:val="24"/>
                <w:szCs w:val="24"/>
              </w:rPr>
              <w:t>：</w:t>
            </w:r>
          </w:p>
        </w:tc>
      </w:tr>
    </w:tbl>
    <w:p w14:paraId="5A1829DD">
      <w:pPr>
        <w:keepNext w:val="0"/>
        <w:keepLines w:val="0"/>
        <w:pageBreakBefore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bCs/>
          <w:color w:val="000000"/>
          <w:kern w:val="0"/>
          <w:sz w:val="24"/>
          <w:szCs w:val="24"/>
        </w:rPr>
      </w:pPr>
    </w:p>
    <w:p w14:paraId="5BAE32D5">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C0259"/>
    <w:multiLevelType w:val="singleLevel"/>
    <w:tmpl w:val="10AC0259"/>
    <w:lvl w:ilvl="0" w:tentative="0">
      <w:start w:val="1"/>
      <w:numFmt w:val="decimal"/>
      <w:lvlText w:val="%1."/>
      <w:lvlJc w:val="left"/>
      <w:rPr>
        <w:rFonts w:hint="default"/>
        <w:color w:val="auto"/>
      </w:rPr>
    </w:lvl>
  </w:abstractNum>
  <w:abstractNum w:abstractNumId="1">
    <w:nsid w:val="1E87CB6C"/>
    <w:multiLevelType w:val="singleLevel"/>
    <w:tmpl w:val="1E87CB6C"/>
    <w:lvl w:ilvl="0" w:tentative="0">
      <w:start w:val="1"/>
      <w:numFmt w:val="decimal"/>
      <w:lvlText w:val="%1."/>
      <w:lvlJc w:val="left"/>
      <w:rPr>
        <w:rFonts w:hint="default"/>
        <w:color w:val="auto"/>
      </w:rPr>
    </w:lvl>
  </w:abstractNum>
  <w:abstractNum w:abstractNumId="2">
    <w:nsid w:val="57B6B7F2"/>
    <w:multiLevelType w:val="singleLevel"/>
    <w:tmpl w:val="57B6B7F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F5DEA"/>
    <w:rsid w:val="0BFF5DEA"/>
    <w:rsid w:val="1A625DED"/>
    <w:rsid w:val="70FC7DAE"/>
    <w:rsid w:val="71C83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color w:val="FF0000"/>
      <w:kern w:val="2"/>
      <w:szCs w:val="20"/>
    </w:rPr>
  </w:style>
  <w:style w:type="paragraph" w:styleId="3">
    <w:name w:val="Body Text 2"/>
    <w:basedOn w:val="1"/>
    <w:next w:val="2"/>
    <w:qFormat/>
    <w:uiPriority w:val="0"/>
    <w:pPr>
      <w:widowControl w:val="0"/>
      <w:spacing w:after="120" w:line="480" w:lineRule="auto"/>
      <w:jc w:val="both"/>
    </w:pPr>
    <w:rPr>
      <w:rFonts w:ascii="Tahoma" w:hAnsi="Tahoma" w:eastAsia="宋体" w:cs="Tahoma"/>
      <w:kern w:val="2"/>
      <w:sz w:val="21"/>
      <w:szCs w:val="24"/>
      <w:lang w:val="en-US" w:eastAsia="zh-CN" w:bidi="ar-SA"/>
    </w:rPr>
  </w:style>
  <w:style w:type="paragraph" w:styleId="4">
    <w:name w:val="Body Text Indent"/>
    <w:basedOn w:val="1"/>
    <w:next w:val="1"/>
    <w:qFormat/>
    <w:uiPriority w:val="0"/>
    <w:pPr>
      <w:spacing w:line="520" w:lineRule="exact"/>
      <w:ind w:firstLine="480" w:firstLineChars="200"/>
    </w:pPr>
    <w:rPr>
      <w:rFonts w:ascii="Calibri" w:hAnsi="Calibri"/>
      <w:kern w:val="0"/>
      <w:sz w:val="2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10"/>
    <w:pPr>
      <w:widowControl w:val="0"/>
      <w:adjustRightInd w:val="0"/>
      <w:snapToGrid w:val="0"/>
      <w:spacing w:before="120" w:beforeLines="0" w:after="120" w:afterLines="0" w:line="520" w:lineRule="exact"/>
      <w:jc w:val="center"/>
      <w:outlineLvl w:val="0"/>
    </w:pPr>
    <w:rPr>
      <w:rFonts w:ascii="黑体" w:eastAsia="黑体"/>
      <w:snapToGrid w:val="0"/>
      <w:sz w:val="28"/>
      <w:szCs w:val="20"/>
    </w:rPr>
  </w:style>
  <w:style w:type="paragraph" w:styleId="7">
    <w:name w:val="Body Text First Indent"/>
    <w:basedOn w:val="2"/>
    <w:next w:val="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8">
    <w:name w:val="Body Text First Indent 2"/>
    <w:basedOn w:val="4"/>
    <w:next w:val="1"/>
    <w:qFormat/>
    <w:uiPriority w:val="0"/>
    <w:pPr>
      <w:ind w:firstLine="420"/>
    </w:pPr>
  </w:style>
  <w:style w:type="paragraph" w:customStyle="1" w:styleId="11">
    <w:name w:val="Default"/>
    <w:qFormat/>
    <w:uiPriority w:val="99"/>
    <w:pPr>
      <w:widowControl w:val="0"/>
      <w:suppressAutoHyphens/>
      <w:autoSpaceDE w:val="0"/>
      <w:autoSpaceDN w:val="0"/>
      <w:textAlignment w:val="baseline"/>
    </w:pPr>
    <w:rPr>
      <w:rFonts w:ascii="黑体" w:hAnsi="黑体" w:eastAsia="黑体" w:cs="黑体"/>
      <w:color w:val="000000"/>
      <w:sz w:val="24"/>
      <w:szCs w:val="24"/>
      <w:lang w:val="en-US" w:eastAsia="zh-CN" w:bidi="ar-SA"/>
    </w:rPr>
  </w:style>
  <w:style w:type="paragraph" w:customStyle="1" w:styleId="12">
    <w:name w:val="首行缩进"/>
    <w:basedOn w:val="1"/>
    <w:qFormat/>
    <w:uiPriority w:val="0"/>
    <w:pPr>
      <w:spacing w:line="360" w:lineRule="auto"/>
      <w:ind w:firstLine="420" w:firstLineChars="200"/>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5001</Words>
  <Characters>5326</Characters>
  <Lines>0</Lines>
  <Paragraphs>0</Paragraphs>
  <TotalTime>1</TotalTime>
  <ScaleCrop>false</ScaleCrop>
  <LinksUpToDate>false</LinksUpToDate>
  <CharactersWithSpaces>5607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2026-04-22T09:50:00Z</dcterms:created>
  <dc:creator>WPS_1766716566</dc:creator>
  <cp:lastModifiedBy>WPS_1766716566</cp:lastModifiedBy>
  <dcterms:modified xsi:type="dcterms:W3CDTF">2026-04-23T07:43:54Z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64F5E2A561F9404CB837894C0C259841_11</vt:lpwstr>
  </property>
  <property fmtid="{D5CDD505-2E9C-101B-9397-08002B2CF9AE}" pid="4" name="KSOTemplateDocerSaveRecord">
    <vt:lpwstr>eyJoZGlkIjoiYWJlMjBjNTlkYTQxZmJmMTIzMThlNjAxNjRlZjRjNWIiLCJ1c2VySWQiOiIxNzg2MzU0OTg0In0=</vt:lpwstr>
  </property>
</Properties>
</file>